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0"/>
        <w:spacing w:line="760" w:lineRule="exact"/>
        <w:ind w:firstLine="0" w:firstLineChars="0"/>
        <w:jc w:val="center"/>
        <w:rPr>
          <w:rFonts w:ascii="方正小标宋简体" w:hAnsi="Times New Roman" w:eastAsia="方正小标宋简体" w:cs="Times New Roman"/>
          <w:color w:val="000000"/>
          <w:kern w:val="0"/>
          <w:sz w:val="44"/>
          <w:szCs w:val="44"/>
        </w:rPr>
      </w:pPr>
      <w:r>
        <w:rPr>
          <w:rFonts w:hint="eastAsia" w:ascii="方正小标宋简体" w:hAnsi="Times New Roman" w:eastAsia="方正小标宋简体" w:cs="Times New Roman"/>
          <w:sz w:val="44"/>
          <w:szCs w:val="44"/>
        </w:rPr>
        <w:t>2022年度遂宁市儿童福利院“亲子园业务用房二装及设备采购”项目经费</w:t>
      </w:r>
      <w:r>
        <w:rPr>
          <w:rFonts w:hint="eastAsia" w:ascii="方正小标宋简体" w:hAnsi="Times New Roman" w:eastAsia="方正小标宋简体" w:cs="Times New Roman"/>
          <w:color w:val="000000"/>
          <w:kern w:val="0"/>
          <w:sz w:val="44"/>
          <w:szCs w:val="44"/>
        </w:rPr>
        <w:t>使用情况公示</w:t>
      </w:r>
    </w:p>
    <w:p>
      <w:pPr>
        <w:shd w:val="clear" w:color="auto" w:fill="FFFFFF"/>
        <w:spacing w:line="576" w:lineRule="exact"/>
        <w:rPr>
          <w:rFonts w:ascii="Times New Roman" w:hAnsi="Times New Roman" w:eastAsia="仿宋_GB2312" w:cs="Times New Roman"/>
          <w:color w:val="000000"/>
          <w:kern w:val="0"/>
          <w:sz w:val="32"/>
          <w:szCs w:val="32"/>
        </w:rPr>
      </w:pPr>
    </w:p>
    <w:p>
      <w:pPr>
        <w:shd w:val="clear" w:color="auto" w:fill="FFFFFF"/>
        <w:spacing w:line="560" w:lineRule="exact"/>
        <w:ind w:firstLine="640" w:firstLineChars="200"/>
        <w:rPr>
          <w:rFonts w:ascii="黑体" w:hAnsi="黑体" w:eastAsia="黑体" w:cs="黑体"/>
          <w:bCs/>
          <w:kern w:val="0"/>
          <w:sz w:val="32"/>
          <w:szCs w:val="32"/>
        </w:rPr>
      </w:pPr>
      <w:r>
        <w:rPr>
          <w:rFonts w:hint="eastAsia" w:ascii="黑体" w:hAnsi="黑体" w:eastAsia="黑体" w:cs="黑体"/>
          <w:bCs/>
          <w:kern w:val="0"/>
          <w:sz w:val="32"/>
          <w:szCs w:val="32"/>
        </w:rPr>
        <w:t>一、项目信息</w:t>
      </w:r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楷体_GB2312"/>
          <w:bCs/>
          <w:kern w:val="0"/>
          <w:sz w:val="32"/>
          <w:szCs w:val="32"/>
        </w:rPr>
      </w:pP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项目名称：</w:t>
      </w:r>
      <w:r>
        <w:rPr>
          <w:rFonts w:hint="eastAsia" w:ascii="仿宋" w:hAnsi="仿宋" w:eastAsia="仿宋" w:cs="Times New Roman"/>
          <w:kern w:val="0"/>
          <w:sz w:val="32"/>
          <w:szCs w:val="32"/>
        </w:rPr>
        <w:t>2</w:t>
      </w:r>
      <w:r>
        <w:rPr>
          <w:rFonts w:hint="eastAsia" w:ascii="仿宋" w:hAnsi="仿宋" w:eastAsia="仿宋" w:cs="楷体_GB2312"/>
          <w:bCs/>
          <w:kern w:val="0"/>
          <w:sz w:val="32"/>
          <w:szCs w:val="32"/>
        </w:rPr>
        <w:t>022年度“亲子园业务用房二装及设备采购”项目</w:t>
      </w:r>
    </w:p>
    <w:p>
      <w:pPr>
        <w:spacing w:line="560" w:lineRule="exact"/>
        <w:ind w:firstLine="643" w:firstLineChars="200"/>
        <w:rPr>
          <w:rFonts w:ascii="仿宋_GB2312" w:hAnsi="仿宋_GB2312" w:eastAsia="仿宋_GB2312" w:cs="仿宋_GB2312"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项目主要内容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kern w:val="0"/>
          <w:sz w:val="32"/>
          <w:szCs w:val="32"/>
        </w:rPr>
        <w:t>按照《遂宁市财政局关于拨付2021年7-9月，2022年1-3月和清算2021年1-12月福利彩票公益金地方分成资金的通知》（遂财综〔2022〕102号）文件精神，该项目对</w:t>
      </w:r>
      <w:r>
        <w:rPr>
          <w:rFonts w:ascii="仿宋" w:hAnsi="仿宋" w:eastAsia="仿宋" w:cs="Times New Roman"/>
          <w:sz w:val="32"/>
          <w:szCs w:val="32"/>
        </w:rPr>
        <w:t>青岗山安置小区</w:t>
      </w:r>
      <w:r>
        <w:rPr>
          <w:rFonts w:hint="eastAsia" w:ascii="仿宋" w:hAnsi="仿宋" w:eastAsia="仿宋"/>
          <w:sz w:val="32"/>
          <w:szCs w:val="32"/>
        </w:rPr>
        <w:t>业务房</w:t>
      </w:r>
      <w:r>
        <w:rPr>
          <w:rFonts w:hint="eastAsia" w:ascii="仿宋" w:hAnsi="仿宋" w:eastAsia="仿宋" w:cs="宋体"/>
          <w:color w:val="000000"/>
          <w:sz w:val="32"/>
          <w:szCs w:val="32"/>
        </w:rPr>
        <w:t>200平方米（4套，每套50平米）</w:t>
      </w:r>
      <w:r>
        <w:rPr>
          <w:rFonts w:hint="eastAsia" w:ascii="仿宋" w:hAnsi="仿宋" w:eastAsia="仿宋"/>
          <w:sz w:val="32"/>
          <w:szCs w:val="32"/>
        </w:rPr>
        <w:t>进行二次</w:t>
      </w:r>
      <w:r>
        <w:rPr>
          <w:rFonts w:hint="eastAsia" w:ascii="仿宋" w:hAnsi="仿宋" w:eastAsia="仿宋" w:cs="宋体"/>
          <w:color w:val="000000"/>
          <w:sz w:val="32"/>
          <w:szCs w:val="32"/>
        </w:rPr>
        <w:t>装修，同时配备包括床、空调和衣柜等必要设备设施，</w:t>
      </w:r>
      <w:r>
        <w:rPr>
          <w:rFonts w:hint="eastAsia" w:ascii="仿宋" w:hAnsi="仿宋" w:eastAsia="仿宋" w:cs="Times New Roman"/>
          <w:sz w:val="32"/>
          <w:szCs w:val="32"/>
        </w:rPr>
        <w:t>专项用于学龄儿童学习生活保障</w:t>
      </w:r>
      <w:r>
        <w:rPr>
          <w:rFonts w:ascii="仿宋" w:hAnsi="仿宋" w:eastAsia="仿宋" w:cs="Times New Roman"/>
          <w:sz w:val="32"/>
          <w:szCs w:val="32"/>
        </w:rPr>
        <w:t>。</w:t>
      </w:r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Times New Roman"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项目周期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  <w:r>
        <w:rPr>
          <w:rFonts w:hint="eastAsia" w:ascii="仿宋" w:hAnsi="仿宋" w:eastAsia="仿宋" w:cs="Times New Roman"/>
          <w:kern w:val="0"/>
          <w:sz w:val="32"/>
          <w:szCs w:val="32"/>
        </w:rPr>
        <w:t>2022年9月至2022年12月</w:t>
      </w:r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Times New Roman"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资金额度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  <w:r>
        <w:rPr>
          <w:rFonts w:hint="eastAsia" w:ascii="仿宋" w:hAnsi="仿宋" w:eastAsia="仿宋" w:cs="Times New Roman"/>
          <w:kern w:val="0"/>
          <w:sz w:val="32"/>
          <w:szCs w:val="32"/>
        </w:rPr>
        <w:t>30万元（福彩公益金地方分成资金）</w:t>
      </w:r>
    </w:p>
    <w:p>
      <w:pPr>
        <w:shd w:val="clear" w:color="auto" w:fill="FFFFFF"/>
        <w:spacing w:line="560" w:lineRule="exact"/>
        <w:ind w:firstLine="643" w:firstLineChars="200"/>
        <w:rPr>
          <w:rFonts w:hint="eastAsia" w:ascii="仿宋" w:hAnsi="仿宋" w:eastAsia="仿宋" w:cs="Times New Roman"/>
          <w:kern w:val="0"/>
          <w:sz w:val="32"/>
          <w:szCs w:val="32"/>
          <w:lang w:eastAsia="zh-CN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项目负责人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  <w:bookmarkStart w:id="0" w:name="_GoBack"/>
      <w:r>
        <w:rPr>
          <w:rFonts w:hint="eastAsia" w:ascii="仿宋" w:hAnsi="仿宋" w:eastAsia="仿宋" w:cs="Times New Roman"/>
          <w:kern w:val="0"/>
          <w:sz w:val="32"/>
          <w:szCs w:val="32"/>
          <w:lang w:val="en-US" w:eastAsia="zh-CN"/>
        </w:rPr>
        <w:t>张精华</w:t>
      </w:r>
      <w:bookmarkEnd w:id="0"/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Times New Roman"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联系方式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  <w:r>
        <w:rPr>
          <w:rFonts w:hint="eastAsia" w:ascii="仿宋" w:hAnsi="仿宋" w:eastAsia="仿宋" w:cs="Times New Roman"/>
          <w:kern w:val="0"/>
          <w:sz w:val="32"/>
          <w:szCs w:val="32"/>
        </w:rPr>
        <w:t>0825-8533158</w:t>
      </w:r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Times New Roman"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项目完成情况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  <w:r>
        <w:rPr>
          <w:rFonts w:hint="eastAsia" w:ascii="仿宋" w:hAnsi="仿宋" w:eastAsia="仿宋" w:cs="Times New Roman"/>
          <w:kern w:val="0"/>
          <w:sz w:val="32"/>
          <w:szCs w:val="32"/>
        </w:rPr>
        <w:t>已全部完成</w:t>
      </w:r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楷体_GB2312"/>
          <w:bCs/>
          <w:color w:val="FF0000"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接受督查情况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  <w:r>
        <w:rPr>
          <w:rFonts w:hint="eastAsia" w:ascii="仿宋" w:hAnsi="仿宋" w:eastAsia="仿宋" w:cs="Times New Roman"/>
          <w:kern w:val="0"/>
          <w:sz w:val="32"/>
          <w:szCs w:val="32"/>
        </w:rPr>
        <w:t>2</w:t>
      </w:r>
      <w:r>
        <w:rPr>
          <w:rFonts w:hint="eastAsia" w:ascii="仿宋" w:hAnsi="仿宋" w:eastAsia="仿宋" w:cs="楷体_GB2312"/>
          <w:bCs/>
          <w:kern w:val="0"/>
          <w:sz w:val="32"/>
          <w:szCs w:val="32"/>
        </w:rPr>
        <w:t>022年度“亲子园业务用房二装及设备采购”项目</w:t>
      </w:r>
      <w:r>
        <w:rPr>
          <w:rFonts w:hint="eastAsia" w:ascii="仿宋" w:hAnsi="仿宋" w:eastAsia="仿宋" w:cs="Times New Roman"/>
          <w:sz w:val="32"/>
          <w:szCs w:val="32"/>
        </w:rPr>
        <w:t>经费接受市财政局监督检查，项目实施规范，资料完整齐备，受助对象满意。</w:t>
      </w:r>
    </w:p>
    <w:p>
      <w:pPr>
        <w:shd w:val="clear" w:color="auto" w:fill="FFFFFF"/>
        <w:spacing w:line="560" w:lineRule="exact"/>
        <w:ind w:firstLine="640" w:firstLineChars="200"/>
        <w:rPr>
          <w:rFonts w:ascii="黑体" w:hAnsi="黑体" w:eastAsia="黑体" w:cs="黑体"/>
          <w:bCs/>
          <w:kern w:val="0"/>
          <w:sz w:val="32"/>
          <w:szCs w:val="32"/>
        </w:rPr>
      </w:pPr>
      <w:r>
        <w:rPr>
          <w:rFonts w:hint="eastAsia" w:ascii="黑体" w:hAnsi="黑体" w:eastAsia="黑体" w:cs="黑体"/>
          <w:bCs/>
          <w:kern w:val="0"/>
          <w:sz w:val="32"/>
          <w:szCs w:val="32"/>
        </w:rPr>
        <w:t>二、项目效果</w:t>
      </w:r>
    </w:p>
    <w:p>
      <w:pPr>
        <w:pStyle w:val="10"/>
        <w:ind w:firstLine="643"/>
        <w:rPr>
          <w:rFonts w:ascii="仿宋" w:hAnsi="仿宋" w:eastAsia="仿宋"/>
          <w:szCs w:val="32"/>
        </w:rPr>
      </w:pPr>
      <w:r>
        <w:rPr>
          <w:rFonts w:ascii="仿宋" w:hAnsi="仿宋" w:eastAsia="仿宋" w:cs="楷体_GB2312"/>
          <w:b/>
          <w:bCs/>
          <w:kern w:val="0"/>
          <w:szCs w:val="32"/>
        </w:rPr>
        <w:t>实际效果</w:t>
      </w:r>
      <w:r>
        <w:rPr>
          <w:rFonts w:hint="eastAsia" w:ascii="仿宋" w:hAnsi="仿宋" w:eastAsia="仿宋" w:cs="楷体_GB2312"/>
          <w:b/>
          <w:bCs/>
          <w:kern w:val="0"/>
          <w:szCs w:val="32"/>
        </w:rPr>
        <w:t>：</w:t>
      </w:r>
    </w:p>
    <w:p>
      <w:pPr>
        <w:spacing w:line="600" w:lineRule="exact"/>
        <w:ind w:firstLine="640" w:firstLineChars="200"/>
        <w:rPr>
          <w:rFonts w:ascii="仿宋_GB2312" w:hAnsi="仿宋_GB2312" w:eastAsia="仿宋_GB2312" w:cs="仿宋_GB2312"/>
          <w:color w:val="FF0000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项目从2022年9月开始实施，2022年12结束，</w:t>
      </w:r>
      <w:r>
        <w:rPr>
          <w:rFonts w:hint="eastAsia" w:ascii="仿宋_GB2312" w:hAnsi="仿宋_GB2312" w:eastAsia="仿宋_GB2312" w:cs="仿宋_GB2312"/>
          <w:kern w:val="0"/>
          <w:sz w:val="32"/>
          <w:szCs w:val="32"/>
        </w:rPr>
        <w:t>对</w:t>
      </w:r>
      <w:r>
        <w:rPr>
          <w:rFonts w:ascii="仿宋" w:hAnsi="仿宋" w:eastAsia="仿宋" w:cs="Times New Roman"/>
          <w:sz w:val="32"/>
          <w:szCs w:val="32"/>
        </w:rPr>
        <w:t>青岗山安置小区</w:t>
      </w:r>
      <w:r>
        <w:rPr>
          <w:rFonts w:hint="eastAsia" w:ascii="仿宋" w:hAnsi="仿宋" w:eastAsia="仿宋"/>
          <w:sz w:val="32"/>
          <w:szCs w:val="32"/>
        </w:rPr>
        <w:t>业务房</w:t>
      </w:r>
      <w:r>
        <w:rPr>
          <w:rFonts w:hint="eastAsia" w:ascii="仿宋" w:hAnsi="仿宋" w:eastAsia="仿宋" w:cs="宋体"/>
          <w:color w:val="000000"/>
          <w:sz w:val="32"/>
          <w:szCs w:val="32"/>
        </w:rPr>
        <w:t>200平方米（4套，每套50平米）</w:t>
      </w:r>
      <w:r>
        <w:rPr>
          <w:rFonts w:hint="eastAsia" w:ascii="仿宋" w:hAnsi="仿宋" w:eastAsia="仿宋"/>
          <w:sz w:val="32"/>
          <w:szCs w:val="32"/>
        </w:rPr>
        <w:t>进行二次</w:t>
      </w:r>
      <w:r>
        <w:rPr>
          <w:rFonts w:hint="eastAsia" w:ascii="仿宋" w:hAnsi="仿宋" w:eastAsia="仿宋" w:cs="宋体"/>
          <w:color w:val="000000"/>
          <w:sz w:val="32"/>
          <w:szCs w:val="32"/>
        </w:rPr>
        <w:t>装修</w:t>
      </w:r>
      <w:r>
        <w:rPr>
          <w:rFonts w:hint="eastAsia" w:ascii="仿宋" w:hAnsi="仿宋" w:eastAsia="仿宋"/>
          <w:sz w:val="32"/>
          <w:szCs w:val="32"/>
        </w:rPr>
        <w:t>和设备采购，本着满足基本功能、经济适用、力戒浮华的原则，杜绝豪华装修和高档采购，为学龄阶段的孤残儿童提供温馨、整洁的学习生活环境，</w:t>
      </w:r>
      <w:r>
        <w:rPr>
          <w:rFonts w:hint="eastAsia" w:ascii="仿宋" w:hAnsi="仿宋" w:eastAsia="仿宋" w:cs="宋体"/>
          <w:sz w:val="32"/>
          <w:szCs w:val="32"/>
        </w:rPr>
        <w:t>真切的感受家的温暖，为</w:t>
      </w:r>
      <w:r>
        <w:rPr>
          <w:rFonts w:hint="eastAsia" w:ascii="仿宋" w:hAnsi="仿宋" w:eastAsia="仿宋" w:cs="Times New Roman"/>
          <w:sz w:val="32"/>
          <w:szCs w:val="32"/>
        </w:rPr>
        <w:t>儿童</w:t>
      </w:r>
      <w:r>
        <w:rPr>
          <w:rFonts w:hint="eastAsia" w:ascii="仿宋" w:hAnsi="仿宋" w:eastAsia="仿宋"/>
          <w:sz w:val="32"/>
          <w:szCs w:val="32"/>
        </w:rPr>
        <w:t>成年后回归家庭和</w:t>
      </w:r>
      <w:r>
        <w:rPr>
          <w:rFonts w:ascii="仿宋" w:hAnsi="仿宋" w:eastAsia="仿宋" w:cs="Times New Roman"/>
          <w:sz w:val="32"/>
          <w:szCs w:val="32"/>
        </w:rPr>
        <w:t>更好地融入社会</w:t>
      </w:r>
      <w:r>
        <w:rPr>
          <w:rFonts w:hint="eastAsia" w:ascii="仿宋" w:hAnsi="仿宋" w:eastAsia="仿宋"/>
          <w:sz w:val="32"/>
          <w:szCs w:val="32"/>
        </w:rPr>
        <w:t>打好基础</w:t>
      </w:r>
      <w:r>
        <w:rPr>
          <w:rFonts w:ascii="仿宋" w:hAnsi="仿宋" w:eastAsia="仿宋" w:cs="Times New Roman"/>
          <w:sz w:val="32"/>
          <w:szCs w:val="32"/>
        </w:rPr>
        <w:t>。</w:t>
      </w:r>
    </w:p>
    <w:p>
      <w:pPr>
        <w:pStyle w:val="10"/>
        <w:spacing w:line="240" w:lineRule="auto"/>
        <w:ind w:firstLine="643"/>
        <w:rPr>
          <w:rFonts w:ascii="仿宋" w:hAnsi="仿宋" w:eastAsia="仿宋" w:cs="楷体_GB2312"/>
          <w:b/>
          <w:bCs/>
          <w:kern w:val="0"/>
          <w:szCs w:val="32"/>
        </w:rPr>
      </w:pPr>
      <w:r>
        <w:rPr>
          <w:rFonts w:hint="eastAsia" w:ascii="仿宋" w:hAnsi="仿宋" w:eastAsia="仿宋" w:cs="楷体_GB2312"/>
          <w:b/>
          <w:bCs/>
          <w:kern w:val="0"/>
          <w:szCs w:val="32"/>
        </w:rPr>
        <w:t>图片展示：</w:t>
      </w:r>
    </w:p>
    <w:p>
      <w:pPr>
        <w:pStyle w:val="10"/>
        <w:spacing w:line="240" w:lineRule="auto"/>
        <w:ind w:firstLine="0" w:firstLineChars="0"/>
        <w:rPr>
          <w:rFonts w:ascii="仿宋" w:hAnsi="仿宋" w:eastAsia="仿宋" w:cs="楷体_GB2312"/>
          <w:b/>
          <w:bCs/>
          <w:kern w:val="0"/>
          <w:szCs w:val="32"/>
        </w:rPr>
      </w:pPr>
      <w:r>
        <w:rPr>
          <w:rFonts w:ascii="仿宋" w:hAnsi="仿宋" w:eastAsia="仿宋" w:cs="楷体_GB2312"/>
          <w:b/>
          <w:bCs/>
          <w:kern w:val="0"/>
          <w:szCs w:val="32"/>
        </w:rPr>
        <w:drawing>
          <wp:inline distT="0" distB="0" distL="0" distR="0">
            <wp:extent cx="5274310" cy="3371850"/>
            <wp:effectExtent l="19050" t="0" r="2540" b="0"/>
            <wp:docPr id="2" name="图片 2" descr="C:\Users\Administrator\Desktop\2022福彩项目公示文件夹\微信图片_20230712144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Desktop\2022福彩项目公示文件夹\微信图片_2023071214404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10"/>
        <w:spacing w:line="240" w:lineRule="auto"/>
        <w:ind w:firstLine="0" w:firstLineChars="0"/>
        <w:rPr>
          <w:rFonts w:ascii="黑体" w:hAnsi="黑体" w:eastAsia="黑体" w:cs="黑体"/>
          <w:bCs/>
          <w:color w:val="000000"/>
          <w:kern w:val="0"/>
          <w:szCs w:val="32"/>
        </w:rPr>
      </w:pPr>
      <w:r>
        <w:rPr>
          <w:rFonts w:ascii="黑体" w:hAnsi="黑体" w:eastAsia="黑体" w:cs="黑体"/>
          <w:bCs/>
          <w:color w:val="000000"/>
          <w:kern w:val="0"/>
          <w:szCs w:val="32"/>
        </w:rPr>
        <w:drawing>
          <wp:inline distT="0" distB="0" distL="0" distR="0">
            <wp:extent cx="5274310" cy="3098165"/>
            <wp:effectExtent l="19050" t="0" r="254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8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10"/>
        <w:spacing w:line="240" w:lineRule="auto"/>
        <w:rPr>
          <w:rFonts w:ascii="黑体" w:hAnsi="黑体" w:eastAsia="黑体" w:cs="黑体"/>
          <w:bCs/>
          <w:color w:val="000000"/>
          <w:kern w:val="0"/>
          <w:szCs w:val="32"/>
        </w:rPr>
      </w:pPr>
      <w:r>
        <w:rPr>
          <w:rFonts w:hint="eastAsia" w:ascii="黑体" w:hAnsi="黑体" w:eastAsia="黑体" w:cs="黑体"/>
          <w:bCs/>
          <w:color w:val="000000"/>
          <w:kern w:val="0"/>
          <w:szCs w:val="32"/>
        </w:rPr>
        <w:t>三、资金管理办法</w:t>
      </w:r>
    </w:p>
    <w:p>
      <w:pPr>
        <w:pStyle w:val="10"/>
        <w:rPr>
          <w:rFonts w:ascii="仿宋" w:hAnsi="仿宋" w:eastAsia="仿宋" w:cs="Times New Roman"/>
          <w:color w:val="000000"/>
          <w:kern w:val="0"/>
          <w:szCs w:val="32"/>
        </w:rPr>
      </w:pPr>
      <w:r>
        <w:rPr>
          <w:rFonts w:hint="eastAsia" w:ascii="仿宋" w:hAnsi="仿宋" w:eastAsia="仿宋" w:cs="Times New Roman"/>
          <w:color w:val="000000"/>
          <w:kern w:val="0"/>
          <w:szCs w:val="32"/>
        </w:rPr>
        <w:t>《中央集中彩票公益金支持社会福利事业资金使用管理办法》（财社〔2021〕60号）、民政部办公厅关于印发《民政部彩票公益金使用管理办法》等六个办法的通知（民办发〔2019〕34号）、《四川省中央和省级财政彩票公益金支持社会福利事业资金管理办法》（川财社〔2020〕64号）、《四川省民政厅福利彩票公益金使用管理办法》（川民发〔2021〕102号）、《遂宁市福利彩票公益金管理办法》（遂财规〔2020〕2号）。</w:t>
      </w:r>
    </w:p>
    <w:p/>
    <w:sectPr>
      <w:footerReference r:id="rId3" w:type="default"/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仿宋简体">
    <w:altName w:val="微软雅黑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方正小标宋简体">
    <w:altName w:val="黑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pict>
        <v:shape id="_x0000_s4097" o:spid="_x0000_s4097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5"/>
                </w:pPr>
                <w:r>
                  <w:t xml:space="preserve">— </w:t>
                </w: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  <w:r>
                  <w:t xml:space="preserve"> —</w:t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NTQ2YWJmNGNiMjMxMmU1NjJiM2FmNWY1NzYzNGQ2Y2EifQ=="/>
  </w:docVars>
  <w:rsids>
    <w:rsidRoot w:val="00BD3682"/>
    <w:rsid w:val="0000451E"/>
    <w:rsid w:val="00005F06"/>
    <w:rsid w:val="00033405"/>
    <w:rsid w:val="00060125"/>
    <w:rsid w:val="000950C4"/>
    <w:rsid w:val="000A2144"/>
    <w:rsid w:val="000D2610"/>
    <w:rsid w:val="000D4DAE"/>
    <w:rsid w:val="001003FA"/>
    <w:rsid w:val="0014787C"/>
    <w:rsid w:val="00164B82"/>
    <w:rsid w:val="00165B16"/>
    <w:rsid w:val="00185F78"/>
    <w:rsid w:val="00250669"/>
    <w:rsid w:val="00255CA9"/>
    <w:rsid w:val="00262E32"/>
    <w:rsid w:val="002A7024"/>
    <w:rsid w:val="002B1B8A"/>
    <w:rsid w:val="002E67AA"/>
    <w:rsid w:val="00357B00"/>
    <w:rsid w:val="00385A31"/>
    <w:rsid w:val="003B6D84"/>
    <w:rsid w:val="00424B42"/>
    <w:rsid w:val="004532BC"/>
    <w:rsid w:val="004A0504"/>
    <w:rsid w:val="004E5C59"/>
    <w:rsid w:val="004F4C21"/>
    <w:rsid w:val="004F7455"/>
    <w:rsid w:val="00554121"/>
    <w:rsid w:val="005831EB"/>
    <w:rsid w:val="005E5FB0"/>
    <w:rsid w:val="006433CF"/>
    <w:rsid w:val="006438F0"/>
    <w:rsid w:val="00663F24"/>
    <w:rsid w:val="00682F57"/>
    <w:rsid w:val="006851A3"/>
    <w:rsid w:val="006D2CCC"/>
    <w:rsid w:val="006E06F4"/>
    <w:rsid w:val="0070695F"/>
    <w:rsid w:val="0072207E"/>
    <w:rsid w:val="00824607"/>
    <w:rsid w:val="008302F8"/>
    <w:rsid w:val="00831C41"/>
    <w:rsid w:val="008A7DB3"/>
    <w:rsid w:val="008E6384"/>
    <w:rsid w:val="008F3F3A"/>
    <w:rsid w:val="009378CA"/>
    <w:rsid w:val="009477F7"/>
    <w:rsid w:val="0095255C"/>
    <w:rsid w:val="00953DC4"/>
    <w:rsid w:val="00991994"/>
    <w:rsid w:val="009A695A"/>
    <w:rsid w:val="009E5067"/>
    <w:rsid w:val="00A71191"/>
    <w:rsid w:val="00A71CF6"/>
    <w:rsid w:val="00A74CFD"/>
    <w:rsid w:val="00AC77FA"/>
    <w:rsid w:val="00AD07A9"/>
    <w:rsid w:val="00AF0C33"/>
    <w:rsid w:val="00AF5EC6"/>
    <w:rsid w:val="00B00795"/>
    <w:rsid w:val="00B07F6F"/>
    <w:rsid w:val="00B3445F"/>
    <w:rsid w:val="00B66BD3"/>
    <w:rsid w:val="00BD3119"/>
    <w:rsid w:val="00BD3682"/>
    <w:rsid w:val="00C164D6"/>
    <w:rsid w:val="00C51C70"/>
    <w:rsid w:val="00CB36C7"/>
    <w:rsid w:val="00D25D8E"/>
    <w:rsid w:val="00D3344B"/>
    <w:rsid w:val="00D36437"/>
    <w:rsid w:val="00D4762C"/>
    <w:rsid w:val="00D747BC"/>
    <w:rsid w:val="00D76019"/>
    <w:rsid w:val="00DF09FF"/>
    <w:rsid w:val="00EC1AE9"/>
    <w:rsid w:val="00ED1B5D"/>
    <w:rsid w:val="00F97704"/>
    <w:rsid w:val="00FD5360"/>
    <w:rsid w:val="00FF036B"/>
    <w:rsid w:val="049F168E"/>
    <w:rsid w:val="0640428E"/>
    <w:rsid w:val="08E12275"/>
    <w:rsid w:val="0C0355A4"/>
    <w:rsid w:val="0F1E3D4A"/>
    <w:rsid w:val="112A3988"/>
    <w:rsid w:val="119E3805"/>
    <w:rsid w:val="14171240"/>
    <w:rsid w:val="145615C1"/>
    <w:rsid w:val="15707C41"/>
    <w:rsid w:val="15B825AF"/>
    <w:rsid w:val="1763059A"/>
    <w:rsid w:val="1CC701CF"/>
    <w:rsid w:val="1ED64494"/>
    <w:rsid w:val="21894F4E"/>
    <w:rsid w:val="262525E5"/>
    <w:rsid w:val="283D06F2"/>
    <w:rsid w:val="2B872ED7"/>
    <w:rsid w:val="2C6E29E2"/>
    <w:rsid w:val="2DF25065"/>
    <w:rsid w:val="2E8D2961"/>
    <w:rsid w:val="380D6333"/>
    <w:rsid w:val="384E5182"/>
    <w:rsid w:val="39131727"/>
    <w:rsid w:val="394C69E7"/>
    <w:rsid w:val="3F4F0FDF"/>
    <w:rsid w:val="41075C9E"/>
    <w:rsid w:val="495F15F5"/>
    <w:rsid w:val="49FC20A6"/>
    <w:rsid w:val="4D866514"/>
    <w:rsid w:val="51B353FD"/>
    <w:rsid w:val="52285DEB"/>
    <w:rsid w:val="52FB52AE"/>
    <w:rsid w:val="53887254"/>
    <w:rsid w:val="55D32512"/>
    <w:rsid w:val="5FEDDD8F"/>
    <w:rsid w:val="6190363A"/>
    <w:rsid w:val="6B9A16B0"/>
    <w:rsid w:val="6F767D3E"/>
    <w:rsid w:val="6FA7614A"/>
    <w:rsid w:val="71A315EC"/>
    <w:rsid w:val="728269FA"/>
    <w:rsid w:val="754D5466"/>
    <w:rsid w:val="76E2215D"/>
    <w:rsid w:val="79C618C2"/>
    <w:rsid w:val="7BB2172E"/>
    <w:rsid w:val="7D2C6836"/>
    <w:rsid w:val="7EEE9A8D"/>
    <w:rsid w:val="7F7259B7"/>
    <w:rsid w:val="7FD03F2A"/>
    <w:rsid w:val="FEDF7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qFormat="1" w:unhideWhenUsed="0" w:uiPriority="0" w:semiHidden="0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ind w:firstLine="420"/>
    </w:pPr>
    <w:rPr>
      <w:rFonts w:cs="Times New Roman"/>
      <w:szCs w:val="20"/>
    </w:rPr>
  </w:style>
  <w:style w:type="paragraph" w:styleId="3">
    <w:name w:val="Body Text"/>
    <w:basedOn w:val="1"/>
    <w:link w:val="14"/>
    <w:semiHidden/>
    <w:unhideWhenUsed/>
    <w:qFormat/>
    <w:uiPriority w:val="99"/>
    <w:pPr>
      <w:spacing w:after="120"/>
    </w:pPr>
  </w:style>
  <w:style w:type="paragraph" w:styleId="4">
    <w:name w:val="Balloon Text"/>
    <w:basedOn w:val="1"/>
    <w:link w:val="13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Body Text First Indent"/>
    <w:basedOn w:val="3"/>
    <w:link w:val="15"/>
    <w:qFormat/>
    <w:uiPriority w:val="0"/>
    <w:pPr>
      <w:ind w:firstLine="420" w:firstLineChars="100"/>
    </w:pPr>
    <w:rPr>
      <w:rFonts w:ascii="Times New Roman" w:hAnsi="Times New Roman" w:cs="Times New Roman"/>
      <w:kern w:val="0"/>
      <w:sz w:val="34"/>
      <w:szCs w:val="34"/>
    </w:rPr>
  </w:style>
  <w:style w:type="paragraph" w:customStyle="1" w:styleId="10">
    <w:name w:val="常用样式（方正仿宋简）"/>
    <w:basedOn w:val="1"/>
    <w:qFormat/>
    <w:uiPriority w:val="99"/>
    <w:pPr>
      <w:spacing w:line="560" w:lineRule="exact"/>
      <w:ind w:firstLine="640" w:firstLineChars="200"/>
    </w:pPr>
    <w:rPr>
      <w:rFonts w:eastAsia="方正仿宋简体"/>
      <w:sz w:val="32"/>
    </w:rPr>
  </w:style>
  <w:style w:type="character" w:customStyle="1" w:styleId="11">
    <w:name w:val="页眉 Char"/>
    <w:basedOn w:val="9"/>
    <w:link w:val="6"/>
    <w:qFormat/>
    <w:uiPriority w:val="99"/>
    <w:rPr>
      <w:rFonts w:ascii="Calibri" w:hAnsi="Calibri" w:eastAsia="宋体" w:cs="Calibri"/>
      <w:sz w:val="18"/>
      <w:szCs w:val="18"/>
    </w:rPr>
  </w:style>
  <w:style w:type="character" w:customStyle="1" w:styleId="12">
    <w:name w:val="页脚 Char"/>
    <w:basedOn w:val="9"/>
    <w:link w:val="5"/>
    <w:qFormat/>
    <w:uiPriority w:val="99"/>
    <w:rPr>
      <w:rFonts w:ascii="Calibri" w:hAnsi="Calibri" w:eastAsia="宋体" w:cs="Calibri"/>
      <w:sz w:val="18"/>
      <w:szCs w:val="18"/>
    </w:rPr>
  </w:style>
  <w:style w:type="character" w:customStyle="1" w:styleId="13">
    <w:name w:val="批注框文本 Char"/>
    <w:basedOn w:val="9"/>
    <w:link w:val="4"/>
    <w:semiHidden/>
    <w:qFormat/>
    <w:uiPriority w:val="99"/>
    <w:rPr>
      <w:rFonts w:ascii="Calibri" w:hAnsi="Calibri" w:eastAsia="宋体" w:cs="Calibri"/>
      <w:kern w:val="2"/>
      <w:sz w:val="18"/>
      <w:szCs w:val="18"/>
    </w:rPr>
  </w:style>
  <w:style w:type="character" w:customStyle="1" w:styleId="14">
    <w:name w:val="正文文本 Char"/>
    <w:basedOn w:val="9"/>
    <w:link w:val="3"/>
    <w:semiHidden/>
    <w:qFormat/>
    <w:uiPriority w:val="99"/>
    <w:rPr>
      <w:rFonts w:ascii="Calibri" w:hAnsi="Calibri" w:eastAsia="宋体" w:cs="Calibri"/>
      <w:kern w:val="2"/>
      <w:sz w:val="21"/>
      <w:szCs w:val="21"/>
    </w:rPr>
  </w:style>
  <w:style w:type="character" w:customStyle="1" w:styleId="15">
    <w:name w:val="正文首行缩进 Char"/>
    <w:basedOn w:val="14"/>
    <w:link w:val="7"/>
    <w:qFormat/>
    <w:uiPriority w:val="0"/>
    <w:rPr>
      <w:rFonts w:ascii="Times New Roman" w:hAnsi="Times New Roman" w:cs="Times New Roman"/>
      <w:sz w:val="34"/>
      <w:szCs w:val="34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118</Words>
  <Characters>677</Characters>
  <Lines>5</Lines>
  <Paragraphs>1</Paragraphs>
  <TotalTime>103</TotalTime>
  <ScaleCrop>false</ScaleCrop>
  <LinksUpToDate>false</LinksUpToDate>
  <CharactersWithSpaces>794</CharactersWithSpaces>
  <Application>WPS Office_11.8.6.8810_F1E327BC-269C-435d-A152-05C5408002CA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2022-04-24T07:36:00Z</dcterms:created>
  <dc:creator>wan fj</dc:creator>
  <cp:lastModifiedBy>胡钦</cp:lastModifiedBy>
  <dcterms:modified xsi:type="dcterms:W3CDTF">2023-07-17T03:31:06Z</dcterms:modified>
  <cp:revision>51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2052-11.8.6.8810</vt:lpwstr>
  </property>
  <property fmtid="{D5CDD505-2E9C-101B-9397-08002B2CF9AE}" pid="3" name="commondata">
    <vt:lpwstr>eyJoZGlkIjoiZjFlMTdmZmU0MDJkMGMxMTBlOTNmMzBlMDAwN2U4NDQifQ==</vt:lpwstr>
  </property>
  <property fmtid="{D5CDD505-2E9C-101B-9397-08002B2CF9AE}" pid="4" name="ICV">
    <vt:lpwstr>50273CCB3298462EB4A7CDB9F1643C69</vt:lpwstr>
  </property>
</Properties>
</file>