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0"/>
        <w:keepNext w:val="0"/>
        <w:keepLines w:val="0"/>
        <w:pageBreakBefore w:val="0"/>
        <w:widowControl w:val="0"/>
        <w:kinsoku/>
        <w:wordWrap/>
        <w:overflowPunct/>
        <w:topLinePunct w:val="0"/>
        <w:autoSpaceDE/>
        <w:autoSpaceDN/>
        <w:bidi w:val="0"/>
        <w:adjustRightInd/>
        <w:snapToGrid/>
        <w:spacing w:line="760" w:lineRule="exact"/>
        <w:ind w:firstLine="0" w:firstLineChars="0"/>
        <w:jc w:val="center"/>
        <w:textAlignment w:val="auto"/>
        <w:rPr>
          <w:rFonts w:hint="eastAsia" w:ascii="方正小标宋简体" w:hAnsi="Times New Roman" w:eastAsia="方正小标宋简体" w:cs="Times New Roman"/>
          <w:sz w:val="44"/>
          <w:szCs w:val="44"/>
          <w:lang w:val="en-US" w:eastAsia="zh-CN"/>
        </w:rPr>
      </w:pPr>
      <w:r>
        <w:rPr>
          <w:rFonts w:hint="eastAsia" w:ascii="方正小标宋简体" w:hAnsi="Times New Roman" w:eastAsia="方正小标宋简体" w:cs="Times New Roman"/>
          <w:sz w:val="44"/>
          <w:szCs w:val="44"/>
        </w:rPr>
        <w:t>20</w:t>
      </w:r>
      <w:r>
        <w:rPr>
          <w:rFonts w:hint="eastAsia" w:ascii="方正小标宋简体" w:hAnsi="Times New Roman" w:eastAsia="方正小标宋简体" w:cs="Times New Roman"/>
          <w:sz w:val="44"/>
          <w:szCs w:val="44"/>
          <w:lang w:val="en-US" w:eastAsia="zh-CN"/>
        </w:rPr>
        <w:t>22</w:t>
      </w:r>
      <w:r>
        <w:rPr>
          <w:rFonts w:hint="eastAsia" w:ascii="方正小标宋简体" w:hAnsi="Times New Roman" w:eastAsia="方正小标宋简体" w:cs="Times New Roman"/>
          <w:sz w:val="44"/>
          <w:szCs w:val="44"/>
        </w:rPr>
        <w:t>年度遂宁市</w:t>
      </w:r>
      <w:r>
        <w:rPr>
          <w:rFonts w:hint="eastAsia" w:ascii="方正小标宋简体" w:hAnsi="Times New Roman" w:eastAsia="方正小标宋简体" w:cs="Times New Roman"/>
          <w:sz w:val="44"/>
          <w:szCs w:val="44"/>
          <w:lang w:val="en-US" w:eastAsia="zh-CN"/>
        </w:rPr>
        <w:t>社会福利院</w:t>
      </w:r>
    </w:p>
    <w:p>
      <w:pPr>
        <w:pStyle w:val="10"/>
        <w:keepNext w:val="0"/>
        <w:keepLines w:val="0"/>
        <w:pageBreakBefore w:val="0"/>
        <w:widowControl w:val="0"/>
        <w:kinsoku/>
        <w:wordWrap/>
        <w:overflowPunct/>
        <w:topLinePunct w:val="0"/>
        <w:autoSpaceDE/>
        <w:autoSpaceDN/>
        <w:bidi w:val="0"/>
        <w:adjustRightInd/>
        <w:snapToGrid/>
        <w:spacing w:line="760" w:lineRule="exact"/>
        <w:ind w:firstLine="0" w:firstLineChars="0"/>
        <w:jc w:val="center"/>
        <w:textAlignment w:val="auto"/>
        <w:rPr>
          <w:rFonts w:hint="eastAsia" w:ascii="方正小标宋简体" w:hAnsi="Times New Roman" w:eastAsia="方正小标宋简体" w:cs="Times New Roman"/>
          <w:sz w:val="44"/>
          <w:szCs w:val="44"/>
        </w:rPr>
      </w:pPr>
      <w:r>
        <w:rPr>
          <w:rFonts w:hint="eastAsia" w:ascii="方正小标宋简体" w:hAnsi="Times New Roman" w:eastAsia="方正小标宋简体" w:cs="Times New Roman"/>
          <w:sz w:val="44"/>
          <w:szCs w:val="44"/>
          <w:lang w:eastAsia="zh-CN"/>
        </w:rPr>
        <w:t>“</w:t>
      </w:r>
      <w:r>
        <w:rPr>
          <w:rFonts w:hint="eastAsia" w:ascii="方正小标宋简体" w:hAnsi="Times New Roman" w:eastAsia="方正小标宋简体" w:cs="Times New Roman"/>
          <w:sz w:val="44"/>
          <w:szCs w:val="44"/>
          <w:lang w:val="en-US" w:eastAsia="zh-CN"/>
        </w:rPr>
        <w:t>养老护理员职业技能竞赛</w:t>
      </w:r>
      <w:r>
        <w:rPr>
          <w:rFonts w:hint="eastAsia" w:ascii="方正小标宋简体" w:hAnsi="Times New Roman" w:eastAsia="方正小标宋简体" w:cs="Times New Roman"/>
          <w:sz w:val="44"/>
          <w:szCs w:val="44"/>
          <w:lang w:eastAsia="zh-CN"/>
        </w:rPr>
        <w:t>”</w:t>
      </w:r>
      <w:r>
        <w:rPr>
          <w:rFonts w:hint="eastAsia" w:ascii="方正小标宋简体" w:hAnsi="Times New Roman" w:eastAsia="方正小标宋简体" w:cs="Times New Roman"/>
          <w:sz w:val="44"/>
          <w:szCs w:val="44"/>
        </w:rPr>
        <w:t>项目经费</w:t>
      </w:r>
    </w:p>
    <w:p>
      <w:pPr>
        <w:pStyle w:val="10"/>
        <w:keepNext w:val="0"/>
        <w:keepLines w:val="0"/>
        <w:pageBreakBefore w:val="0"/>
        <w:widowControl w:val="0"/>
        <w:kinsoku/>
        <w:wordWrap/>
        <w:overflowPunct/>
        <w:topLinePunct w:val="0"/>
        <w:autoSpaceDE/>
        <w:autoSpaceDN/>
        <w:bidi w:val="0"/>
        <w:adjustRightInd/>
        <w:snapToGrid/>
        <w:spacing w:line="760" w:lineRule="exact"/>
        <w:ind w:firstLine="0" w:firstLineChars="0"/>
        <w:jc w:val="center"/>
        <w:textAlignment w:val="auto"/>
        <w:rPr>
          <w:rFonts w:hint="eastAsia" w:ascii="方正小标宋简体" w:hAnsi="Times New Roman" w:eastAsia="方正小标宋简体" w:cs="Times New Roman"/>
          <w:color w:val="000000"/>
          <w:kern w:val="0"/>
          <w:sz w:val="44"/>
          <w:szCs w:val="44"/>
        </w:rPr>
      </w:pPr>
      <w:r>
        <w:rPr>
          <w:rFonts w:hint="eastAsia" w:ascii="方正小标宋简体" w:hAnsi="Times New Roman" w:eastAsia="方正小标宋简体" w:cs="Times New Roman"/>
          <w:color w:val="000000"/>
          <w:kern w:val="0"/>
          <w:sz w:val="44"/>
          <w:szCs w:val="44"/>
        </w:rPr>
        <w:t>使用情况公示</w:t>
      </w:r>
    </w:p>
    <w:p>
      <w:pPr>
        <w:shd w:val="clear" w:color="auto" w:fill="FFFFFF"/>
        <w:spacing w:line="576" w:lineRule="exact"/>
        <w:rPr>
          <w:rFonts w:ascii="Times New Roman" w:hAnsi="Times New Roman" w:eastAsia="仿宋_GB2312" w:cs="Times New Roman"/>
          <w:color w:val="000000"/>
          <w:kern w:val="0"/>
          <w:sz w:val="32"/>
          <w:szCs w:val="32"/>
        </w:rPr>
      </w:pPr>
    </w:p>
    <w:p>
      <w:pPr>
        <w:keepNext w:val="0"/>
        <w:keepLines w:val="0"/>
        <w:pageBreakBefore w:val="0"/>
        <w:widowControl w:val="0"/>
        <w:shd w:val="clear" w:color="auto" w:fill="FFFFFF"/>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b w:val="0"/>
          <w:bCs/>
          <w:kern w:val="0"/>
          <w:sz w:val="32"/>
          <w:szCs w:val="32"/>
        </w:rPr>
      </w:pPr>
      <w:r>
        <w:rPr>
          <w:rFonts w:hint="eastAsia" w:ascii="黑体" w:hAnsi="黑体" w:eastAsia="黑体" w:cs="黑体"/>
          <w:b w:val="0"/>
          <w:bCs/>
          <w:kern w:val="0"/>
          <w:sz w:val="32"/>
          <w:szCs w:val="32"/>
        </w:rPr>
        <w:t>一、项目信息</w:t>
      </w:r>
    </w:p>
    <w:p>
      <w:pPr>
        <w:keepNext w:val="0"/>
        <w:keepLines w:val="0"/>
        <w:pageBreakBefore w:val="0"/>
        <w:widowControl w:val="0"/>
        <w:shd w:val="clear" w:color="auto" w:fill="FFFFFF"/>
        <w:kinsoku/>
        <w:wordWrap/>
        <w:overflowPunct/>
        <w:topLinePunct w:val="0"/>
        <w:autoSpaceDE/>
        <w:autoSpaceDN/>
        <w:bidi w:val="0"/>
        <w:adjustRightInd/>
        <w:snapToGrid/>
        <w:spacing w:line="560" w:lineRule="exact"/>
        <w:ind w:firstLine="643" w:firstLineChars="200"/>
        <w:textAlignment w:val="auto"/>
        <w:rPr>
          <w:rFonts w:ascii="仿宋" w:hAnsi="仿宋" w:eastAsia="仿宋" w:cs="楷体_GB2312"/>
          <w:bCs/>
          <w:kern w:val="0"/>
          <w:sz w:val="32"/>
          <w:szCs w:val="32"/>
        </w:rPr>
      </w:pPr>
      <w:r>
        <w:rPr>
          <w:rFonts w:hint="eastAsia" w:ascii="仿宋" w:hAnsi="仿宋" w:eastAsia="仿宋" w:cs="楷体_GB2312"/>
          <w:b/>
          <w:bCs/>
          <w:kern w:val="0"/>
          <w:sz w:val="32"/>
          <w:szCs w:val="32"/>
        </w:rPr>
        <w:t>项目名称：</w:t>
      </w:r>
      <w:r>
        <w:rPr>
          <w:rFonts w:hint="eastAsia" w:ascii="仿宋" w:hAnsi="仿宋" w:eastAsia="仿宋" w:cs="Times New Roman"/>
          <w:kern w:val="0"/>
          <w:sz w:val="32"/>
          <w:szCs w:val="32"/>
        </w:rPr>
        <w:t>2</w:t>
      </w:r>
      <w:r>
        <w:rPr>
          <w:rFonts w:hint="eastAsia" w:ascii="仿宋" w:hAnsi="仿宋" w:eastAsia="仿宋" w:cs="楷体_GB2312"/>
          <w:bCs/>
          <w:kern w:val="0"/>
          <w:sz w:val="32"/>
          <w:szCs w:val="32"/>
        </w:rPr>
        <w:t>0</w:t>
      </w:r>
      <w:r>
        <w:rPr>
          <w:rFonts w:hint="eastAsia" w:ascii="仿宋" w:hAnsi="仿宋" w:eastAsia="仿宋" w:cs="楷体_GB2312"/>
          <w:bCs/>
          <w:kern w:val="0"/>
          <w:sz w:val="32"/>
          <w:szCs w:val="32"/>
          <w:lang w:val="en-US" w:eastAsia="zh-CN"/>
        </w:rPr>
        <w:t>22</w:t>
      </w:r>
      <w:r>
        <w:rPr>
          <w:rFonts w:hint="eastAsia" w:ascii="仿宋" w:hAnsi="仿宋" w:eastAsia="仿宋" w:cs="楷体_GB2312"/>
          <w:bCs/>
          <w:kern w:val="0"/>
          <w:sz w:val="32"/>
          <w:szCs w:val="32"/>
        </w:rPr>
        <w:t>年度</w:t>
      </w:r>
      <w:r>
        <w:rPr>
          <w:rFonts w:hint="eastAsia" w:ascii="仿宋" w:hAnsi="仿宋" w:eastAsia="仿宋" w:cs="楷体_GB2312"/>
          <w:bCs/>
          <w:kern w:val="0"/>
          <w:sz w:val="32"/>
          <w:szCs w:val="32"/>
          <w:lang w:eastAsia="zh-CN"/>
        </w:rPr>
        <w:t>“</w:t>
      </w:r>
      <w:r>
        <w:rPr>
          <w:rFonts w:hint="eastAsia" w:ascii="仿宋" w:hAnsi="仿宋" w:eastAsia="仿宋" w:cs="楷体_GB2312"/>
          <w:bCs/>
          <w:kern w:val="0"/>
          <w:sz w:val="32"/>
          <w:szCs w:val="32"/>
          <w:lang w:val="en-US" w:eastAsia="zh-CN"/>
        </w:rPr>
        <w:t>养老护理员职业技能竞赛</w:t>
      </w:r>
      <w:r>
        <w:rPr>
          <w:rFonts w:hint="eastAsia" w:ascii="仿宋" w:hAnsi="仿宋" w:eastAsia="仿宋" w:cs="楷体_GB2312"/>
          <w:bCs/>
          <w:kern w:val="0"/>
          <w:sz w:val="32"/>
          <w:szCs w:val="32"/>
          <w:lang w:eastAsia="zh-CN"/>
        </w:rPr>
        <w:t>”</w:t>
      </w:r>
      <w:r>
        <w:rPr>
          <w:rFonts w:hint="eastAsia" w:ascii="仿宋" w:hAnsi="仿宋" w:eastAsia="仿宋" w:cs="楷体_GB2312"/>
          <w:bCs/>
          <w:kern w:val="0"/>
          <w:sz w:val="32"/>
          <w:szCs w:val="32"/>
        </w:rPr>
        <w:t>项目</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仿宋_GB2312" w:hAnsi="仿宋_GB2312" w:eastAsia="仿宋_GB2312" w:cs="仿宋_GB2312"/>
          <w:b w:val="0"/>
          <w:bCs w:val="0"/>
          <w:kern w:val="0"/>
          <w:sz w:val="32"/>
          <w:szCs w:val="32"/>
        </w:rPr>
      </w:pPr>
      <w:r>
        <w:rPr>
          <w:rFonts w:ascii="仿宋" w:hAnsi="仿宋" w:eastAsia="仿宋" w:cs="楷体_GB2312"/>
          <w:b/>
          <w:bCs/>
          <w:kern w:val="0"/>
          <w:sz w:val="32"/>
          <w:szCs w:val="32"/>
        </w:rPr>
        <w:t>项目主要内容</w:t>
      </w:r>
      <w:r>
        <w:rPr>
          <w:rFonts w:hint="eastAsia" w:ascii="仿宋" w:hAnsi="仿宋" w:eastAsia="仿宋" w:cs="楷体_GB2312"/>
          <w:b/>
          <w:bCs/>
          <w:kern w:val="0"/>
          <w:sz w:val="32"/>
          <w:szCs w:val="32"/>
        </w:rPr>
        <w:t>：</w:t>
      </w:r>
      <w:r>
        <w:rPr>
          <w:rFonts w:hint="eastAsia" w:ascii="仿宋_GB2312" w:hAnsi="仿宋_GB2312" w:eastAsia="仿宋_GB2312" w:cs="仿宋_GB2312"/>
          <w:b w:val="0"/>
          <w:bCs w:val="0"/>
          <w:kern w:val="0"/>
          <w:sz w:val="32"/>
          <w:szCs w:val="32"/>
          <w:lang w:val="en-US" w:eastAsia="zh-CN"/>
        </w:rPr>
        <w:t>按照</w:t>
      </w:r>
      <w:r>
        <w:rPr>
          <w:rFonts w:hint="eastAsia" w:ascii="仿宋_GB2312" w:hAnsi="仿宋_GB2312" w:eastAsia="仿宋_GB2312" w:cs="仿宋_GB2312"/>
          <w:b w:val="0"/>
          <w:bCs w:val="0"/>
          <w:kern w:val="0"/>
          <w:sz w:val="32"/>
          <w:szCs w:val="32"/>
          <w:highlight w:val="none"/>
          <w:lang w:val="en-US" w:eastAsia="zh-CN"/>
        </w:rPr>
        <w:t>2022年10月31日遂宁市财政局印发的《关于拨付2021年7-9月、2021年1-12月清算和2022年1-3月福利彩票公益金地方分成资金的通知》（遂财综〔2022〕102号）</w:t>
      </w:r>
      <w:r>
        <w:rPr>
          <w:rFonts w:hint="eastAsia" w:ascii="仿宋_GB2312" w:hAnsi="仿宋_GB2312" w:eastAsia="仿宋_GB2312" w:cs="仿宋_GB2312"/>
          <w:b w:val="0"/>
          <w:bCs w:val="0"/>
          <w:kern w:val="0"/>
          <w:sz w:val="32"/>
          <w:szCs w:val="32"/>
          <w:lang w:val="en-US" w:eastAsia="zh-CN"/>
        </w:rPr>
        <w:t>文件要求，该项目</w:t>
      </w:r>
      <w:r>
        <w:rPr>
          <w:rFonts w:hint="eastAsia" w:eastAsia="仿宋"/>
          <w:color w:val="auto"/>
          <w:sz w:val="32"/>
          <w:szCs w:val="32"/>
          <w:lang w:val="en-US" w:eastAsia="zh-CN"/>
        </w:rPr>
        <w:t>组织遂宁各县（市、区）和市级养老机构的养老护理员参加遂宁市第二届养老护理职业技能竞赛，并对我市拟推荐参加第六届全省民政行业养老护理员职业技能竞赛的选手进行集训，以赛促训，以训促升，切实提升全市养老护理员专业化水平</w:t>
      </w:r>
      <w:r>
        <w:rPr>
          <w:rFonts w:hint="eastAsia" w:ascii="仿宋_GB2312" w:hAnsi="仿宋_GB2312" w:eastAsia="仿宋_GB2312" w:cs="仿宋_GB2312"/>
          <w:b w:val="0"/>
          <w:bCs w:val="0"/>
          <w:kern w:val="0"/>
          <w:sz w:val="32"/>
          <w:szCs w:val="32"/>
          <w:lang w:val="en-US" w:eastAsia="zh-CN"/>
        </w:rPr>
        <w:t>。</w:t>
      </w:r>
    </w:p>
    <w:p>
      <w:pPr>
        <w:keepNext w:val="0"/>
        <w:keepLines w:val="0"/>
        <w:pageBreakBefore w:val="0"/>
        <w:widowControl w:val="0"/>
        <w:shd w:val="clear" w:color="auto" w:fill="FFFFFF"/>
        <w:kinsoku/>
        <w:wordWrap/>
        <w:overflowPunct/>
        <w:topLinePunct w:val="0"/>
        <w:autoSpaceDE/>
        <w:autoSpaceDN/>
        <w:bidi w:val="0"/>
        <w:adjustRightInd/>
        <w:snapToGrid/>
        <w:spacing w:line="560" w:lineRule="exact"/>
        <w:ind w:firstLine="643" w:firstLineChars="200"/>
        <w:textAlignment w:val="auto"/>
        <w:rPr>
          <w:rFonts w:ascii="仿宋" w:hAnsi="仿宋" w:eastAsia="仿宋" w:cs="Times New Roman"/>
          <w:kern w:val="0"/>
          <w:sz w:val="32"/>
          <w:szCs w:val="32"/>
        </w:rPr>
      </w:pPr>
      <w:r>
        <w:rPr>
          <w:rFonts w:ascii="仿宋" w:hAnsi="仿宋" w:eastAsia="仿宋" w:cs="楷体_GB2312"/>
          <w:b/>
          <w:bCs/>
          <w:kern w:val="0"/>
          <w:sz w:val="32"/>
          <w:szCs w:val="32"/>
        </w:rPr>
        <w:t>项目周期</w:t>
      </w:r>
      <w:r>
        <w:rPr>
          <w:rFonts w:hint="eastAsia" w:ascii="仿宋" w:hAnsi="仿宋" w:eastAsia="仿宋" w:cs="楷体_GB2312"/>
          <w:b/>
          <w:bCs/>
          <w:kern w:val="0"/>
          <w:sz w:val="32"/>
          <w:szCs w:val="32"/>
        </w:rPr>
        <w:t>：</w:t>
      </w:r>
      <w:r>
        <w:rPr>
          <w:rFonts w:hint="eastAsia" w:ascii="仿宋" w:hAnsi="仿宋" w:eastAsia="仿宋" w:cs="Times New Roman"/>
          <w:kern w:val="0"/>
          <w:sz w:val="32"/>
          <w:szCs w:val="32"/>
        </w:rPr>
        <w:t>202</w:t>
      </w:r>
      <w:r>
        <w:rPr>
          <w:rFonts w:hint="eastAsia" w:ascii="仿宋" w:hAnsi="仿宋" w:eastAsia="仿宋" w:cs="Times New Roman"/>
          <w:kern w:val="0"/>
          <w:sz w:val="32"/>
          <w:szCs w:val="32"/>
          <w:lang w:val="en-US" w:eastAsia="zh-CN"/>
        </w:rPr>
        <w:t>2</w:t>
      </w:r>
      <w:r>
        <w:rPr>
          <w:rFonts w:hint="eastAsia" w:ascii="仿宋" w:hAnsi="仿宋" w:eastAsia="仿宋" w:cs="Times New Roman"/>
          <w:kern w:val="0"/>
          <w:sz w:val="32"/>
          <w:szCs w:val="32"/>
        </w:rPr>
        <w:t>年1月至202</w:t>
      </w:r>
      <w:r>
        <w:rPr>
          <w:rFonts w:hint="eastAsia" w:ascii="仿宋" w:hAnsi="仿宋" w:eastAsia="仿宋" w:cs="Times New Roman"/>
          <w:kern w:val="0"/>
          <w:sz w:val="32"/>
          <w:szCs w:val="32"/>
          <w:lang w:val="en-US" w:eastAsia="zh-CN"/>
        </w:rPr>
        <w:t>2</w:t>
      </w:r>
      <w:r>
        <w:rPr>
          <w:rFonts w:hint="eastAsia" w:ascii="仿宋" w:hAnsi="仿宋" w:eastAsia="仿宋" w:cs="Times New Roman"/>
          <w:kern w:val="0"/>
          <w:sz w:val="32"/>
          <w:szCs w:val="32"/>
        </w:rPr>
        <w:t>年12月</w:t>
      </w:r>
    </w:p>
    <w:p>
      <w:pPr>
        <w:keepNext w:val="0"/>
        <w:keepLines w:val="0"/>
        <w:pageBreakBefore w:val="0"/>
        <w:widowControl w:val="0"/>
        <w:shd w:val="clear" w:color="auto" w:fill="FFFFFF"/>
        <w:kinsoku/>
        <w:wordWrap/>
        <w:overflowPunct/>
        <w:topLinePunct w:val="0"/>
        <w:autoSpaceDE/>
        <w:autoSpaceDN/>
        <w:bidi w:val="0"/>
        <w:adjustRightInd/>
        <w:snapToGrid/>
        <w:spacing w:line="560" w:lineRule="exact"/>
        <w:ind w:firstLine="643" w:firstLineChars="200"/>
        <w:textAlignment w:val="auto"/>
        <w:rPr>
          <w:rFonts w:ascii="仿宋" w:hAnsi="仿宋" w:eastAsia="仿宋" w:cs="Times New Roman"/>
          <w:kern w:val="0"/>
          <w:sz w:val="32"/>
          <w:szCs w:val="32"/>
        </w:rPr>
      </w:pPr>
      <w:r>
        <w:rPr>
          <w:rFonts w:ascii="仿宋" w:hAnsi="仿宋" w:eastAsia="仿宋" w:cs="楷体_GB2312"/>
          <w:b/>
          <w:bCs/>
          <w:kern w:val="0"/>
          <w:sz w:val="32"/>
          <w:szCs w:val="32"/>
        </w:rPr>
        <w:t>资金额度</w:t>
      </w:r>
      <w:r>
        <w:rPr>
          <w:rFonts w:hint="eastAsia" w:ascii="仿宋" w:hAnsi="仿宋" w:eastAsia="仿宋" w:cs="楷体_GB2312"/>
          <w:b/>
          <w:bCs/>
          <w:kern w:val="0"/>
          <w:sz w:val="32"/>
          <w:szCs w:val="32"/>
        </w:rPr>
        <w:t>：</w:t>
      </w:r>
      <w:r>
        <w:rPr>
          <w:rFonts w:hint="eastAsia" w:ascii="仿宋" w:hAnsi="仿宋" w:eastAsia="仿宋" w:cs="Times New Roman"/>
          <w:kern w:val="0"/>
          <w:sz w:val="32"/>
          <w:szCs w:val="32"/>
          <w:lang w:val="en-US" w:eastAsia="zh-CN"/>
        </w:rPr>
        <w:t>35</w:t>
      </w:r>
      <w:r>
        <w:rPr>
          <w:rFonts w:hint="eastAsia" w:ascii="仿宋" w:hAnsi="仿宋" w:eastAsia="仿宋" w:cs="Times New Roman"/>
          <w:kern w:val="0"/>
          <w:sz w:val="32"/>
          <w:szCs w:val="32"/>
        </w:rPr>
        <w:t>万元（省级福彩公益金）</w:t>
      </w:r>
    </w:p>
    <w:p>
      <w:pPr>
        <w:keepNext w:val="0"/>
        <w:keepLines w:val="0"/>
        <w:pageBreakBefore w:val="0"/>
        <w:widowControl w:val="0"/>
        <w:shd w:val="clear" w:color="auto" w:fill="FFFFFF"/>
        <w:kinsoku/>
        <w:wordWrap/>
        <w:overflowPunct/>
        <w:topLinePunct w:val="0"/>
        <w:autoSpaceDE/>
        <w:autoSpaceDN/>
        <w:bidi w:val="0"/>
        <w:adjustRightInd/>
        <w:snapToGrid/>
        <w:spacing w:line="560" w:lineRule="exact"/>
        <w:ind w:firstLine="643" w:firstLineChars="200"/>
        <w:textAlignment w:val="auto"/>
        <w:rPr>
          <w:rFonts w:hint="eastAsia" w:ascii="仿宋" w:hAnsi="仿宋" w:eastAsia="仿宋" w:cs="Times New Roman"/>
          <w:kern w:val="0"/>
          <w:sz w:val="32"/>
          <w:szCs w:val="32"/>
          <w:lang w:val="en-US" w:eastAsia="zh-CN"/>
        </w:rPr>
      </w:pPr>
      <w:r>
        <w:rPr>
          <w:rFonts w:ascii="仿宋" w:hAnsi="仿宋" w:eastAsia="仿宋" w:cs="楷体_GB2312"/>
          <w:b/>
          <w:bCs/>
          <w:kern w:val="0"/>
          <w:sz w:val="32"/>
          <w:szCs w:val="32"/>
        </w:rPr>
        <w:t>项目负责人</w:t>
      </w:r>
      <w:r>
        <w:rPr>
          <w:rFonts w:hint="eastAsia" w:ascii="仿宋" w:hAnsi="仿宋" w:eastAsia="仿宋" w:cs="楷体_GB2312"/>
          <w:b/>
          <w:bCs/>
          <w:kern w:val="0"/>
          <w:sz w:val="32"/>
          <w:szCs w:val="32"/>
        </w:rPr>
        <w:t>：</w:t>
      </w:r>
      <w:r>
        <w:rPr>
          <w:rFonts w:hint="eastAsia" w:ascii="仿宋" w:hAnsi="仿宋" w:eastAsia="仿宋" w:cs="Times New Roman"/>
          <w:kern w:val="0"/>
          <w:sz w:val="32"/>
          <w:szCs w:val="32"/>
          <w:lang w:val="en-US" w:eastAsia="zh-CN"/>
        </w:rPr>
        <w:t>唐何军</w:t>
      </w:r>
      <w:bookmarkStart w:id="0" w:name="_GoBack"/>
      <w:bookmarkEnd w:id="0"/>
    </w:p>
    <w:p>
      <w:pPr>
        <w:keepNext w:val="0"/>
        <w:keepLines w:val="0"/>
        <w:pageBreakBefore w:val="0"/>
        <w:widowControl w:val="0"/>
        <w:shd w:val="clear" w:color="auto" w:fill="FFFFFF"/>
        <w:kinsoku/>
        <w:wordWrap/>
        <w:overflowPunct/>
        <w:topLinePunct w:val="0"/>
        <w:autoSpaceDE/>
        <w:autoSpaceDN/>
        <w:bidi w:val="0"/>
        <w:adjustRightInd/>
        <w:snapToGrid/>
        <w:spacing w:line="560" w:lineRule="exact"/>
        <w:ind w:firstLine="643" w:firstLineChars="200"/>
        <w:textAlignment w:val="auto"/>
        <w:rPr>
          <w:rFonts w:hint="default" w:ascii="仿宋" w:hAnsi="仿宋" w:eastAsia="仿宋" w:cs="Times New Roman"/>
          <w:kern w:val="0"/>
          <w:sz w:val="32"/>
          <w:szCs w:val="32"/>
          <w:lang w:val="en-US" w:eastAsia="zh-CN"/>
        </w:rPr>
      </w:pPr>
      <w:r>
        <w:rPr>
          <w:rFonts w:ascii="仿宋" w:hAnsi="仿宋" w:eastAsia="仿宋" w:cs="楷体_GB2312"/>
          <w:b/>
          <w:bCs/>
          <w:kern w:val="0"/>
          <w:sz w:val="32"/>
          <w:szCs w:val="32"/>
        </w:rPr>
        <w:t>联系方式</w:t>
      </w:r>
      <w:r>
        <w:rPr>
          <w:rFonts w:hint="eastAsia" w:ascii="仿宋" w:hAnsi="仿宋" w:eastAsia="仿宋" w:cs="楷体_GB2312"/>
          <w:b/>
          <w:bCs/>
          <w:kern w:val="0"/>
          <w:sz w:val="32"/>
          <w:szCs w:val="32"/>
        </w:rPr>
        <w:t>：</w:t>
      </w:r>
      <w:r>
        <w:rPr>
          <w:rFonts w:hint="eastAsia" w:ascii="仿宋" w:hAnsi="仿宋" w:eastAsia="仿宋" w:cs="Times New Roman"/>
          <w:kern w:val="0"/>
          <w:sz w:val="32"/>
          <w:szCs w:val="32"/>
        </w:rPr>
        <w:t>0825-</w:t>
      </w:r>
      <w:r>
        <w:rPr>
          <w:rFonts w:hint="eastAsia" w:ascii="仿宋" w:hAnsi="仿宋" w:eastAsia="仿宋" w:cs="Times New Roman"/>
          <w:kern w:val="0"/>
          <w:sz w:val="32"/>
          <w:szCs w:val="32"/>
          <w:lang w:val="en-US" w:eastAsia="zh-CN"/>
        </w:rPr>
        <w:t>2373679</w:t>
      </w:r>
    </w:p>
    <w:p>
      <w:pPr>
        <w:keepNext w:val="0"/>
        <w:keepLines w:val="0"/>
        <w:pageBreakBefore w:val="0"/>
        <w:widowControl w:val="0"/>
        <w:shd w:val="clear" w:color="auto" w:fill="FFFFFF"/>
        <w:kinsoku/>
        <w:wordWrap/>
        <w:overflowPunct/>
        <w:topLinePunct w:val="0"/>
        <w:autoSpaceDE/>
        <w:autoSpaceDN/>
        <w:bidi w:val="0"/>
        <w:adjustRightInd/>
        <w:snapToGrid/>
        <w:spacing w:line="560" w:lineRule="exact"/>
        <w:ind w:firstLine="643" w:firstLineChars="200"/>
        <w:textAlignment w:val="auto"/>
        <w:rPr>
          <w:rFonts w:ascii="仿宋" w:hAnsi="仿宋" w:eastAsia="仿宋" w:cs="Times New Roman"/>
          <w:kern w:val="0"/>
          <w:sz w:val="32"/>
          <w:szCs w:val="32"/>
        </w:rPr>
      </w:pPr>
      <w:r>
        <w:rPr>
          <w:rFonts w:ascii="仿宋" w:hAnsi="仿宋" w:eastAsia="仿宋" w:cs="楷体_GB2312"/>
          <w:b/>
          <w:bCs/>
          <w:kern w:val="0"/>
          <w:sz w:val="32"/>
          <w:szCs w:val="32"/>
        </w:rPr>
        <w:t>项目完成情况</w:t>
      </w:r>
      <w:r>
        <w:rPr>
          <w:rFonts w:hint="eastAsia" w:ascii="仿宋" w:hAnsi="仿宋" w:eastAsia="仿宋" w:cs="楷体_GB2312"/>
          <w:b/>
          <w:bCs/>
          <w:kern w:val="0"/>
          <w:sz w:val="32"/>
          <w:szCs w:val="32"/>
        </w:rPr>
        <w:t>：</w:t>
      </w:r>
      <w:r>
        <w:rPr>
          <w:rFonts w:hint="eastAsia" w:ascii="仿宋" w:hAnsi="仿宋" w:eastAsia="仿宋" w:cs="Times New Roman"/>
          <w:kern w:val="0"/>
          <w:sz w:val="32"/>
          <w:szCs w:val="32"/>
        </w:rPr>
        <w:t>已全部完成</w:t>
      </w:r>
    </w:p>
    <w:p>
      <w:pPr>
        <w:keepNext w:val="0"/>
        <w:keepLines w:val="0"/>
        <w:pageBreakBefore w:val="0"/>
        <w:widowControl w:val="0"/>
        <w:shd w:val="clear" w:color="auto" w:fill="FFFFFF"/>
        <w:kinsoku/>
        <w:wordWrap/>
        <w:overflowPunct/>
        <w:topLinePunct w:val="0"/>
        <w:autoSpaceDE/>
        <w:autoSpaceDN/>
        <w:bidi w:val="0"/>
        <w:adjustRightInd/>
        <w:snapToGrid/>
        <w:spacing w:line="560" w:lineRule="exact"/>
        <w:ind w:firstLine="643" w:firstLineChars="200"/>
        <w:textAlignment w:val="auto"/>
        <w:rPr>
          <w:rFonts w:ascii="仿宋" w:hAnsi="仿宋" w:eastAsia="仿宋" w:cs="楷体_GB2312"/>
          <w:bCs/>
          <w:kern w:val="0"/>
          <w:sz w:val="32"/>
          <w:szCs w:val="32"/>
        </w:rPr>
      </w:pPr>
      <w:r>
        <w:rPr>
          <w:rFonts w:ascii="仿宋" w:hAnsi="仿宋" w:eastAsia="仿宋" w:cs="楷体_GB2312"/>
          <w:b/>
          <w:bCs/>
          <w:kern w:val="0"/>
          <w:sz w:val="32"/>
          <w:szCs w:val="32"/>
        </w:rPr>
        <w:t>接受督查情况</w:t>
      </w:r>
      <w:r>
        <w:rPr>
          <w:rFonts w:hint="eastAsia" w:ascii="仿宋" w:hAnsi="仿宋" w:eastAsia="仿宋" w:cs="楷体_GB2312"/>
          <w:b/>
          <w:bCs/>
          <w:kern w:val="0"/>
          <w:sz w:val="32"/>
          <w:szCs w:val="32"/>
        </w:rPr>
        <w:t>：</w:t>
      </w:r>
      <w:r>
        <w:rPr>
          <w:rFonts w:hint="eastAsia" w:ascii="仿宋" w:hAnsi="仿宋" w:eastAsia="仿宋" w:cs="Times New Roman"/>
          <w:kern w:val="0"/>
          <w:sz w:val="32"/>
          <w:szCs w:val="32"/>
        </w:rPr>
        <w:t>2</w:t>
      </w:r>
      <w:r>
        <w:rPr>
          <w:rFonts w:hint="eastAsia" w:ascii="仿宋" w:hAnsi="仿宋" w:eastAsia="仿宋" w:cs="楷体_GB2312"/>
          <w:bCs/>
          <w:kern w:val="0"/>
          <w:sz w:val="32"/>
          <w:szCs w:val="32"/>
        </w:rPr>
        <w:t>0</w:t>
      </w:r>
      <w:r>
        <w:rPr>
          <w:rFonts w:hint="eastAsia" w:ascii="仿宋" w:hAnsi="仿宋" w:eastAsia="仿宋" w:cs="楷体_GB2312"/>
          <w:bCs/>
          <w:kern w:val="0"/>
          <w:sz w:val="32"/>
          <w:szCs w:val="32"/>
          <w:lang w:val="en-US" w:eastAsia="zh-CN"/>
        </w:rPr>
        <w:t>22</w:t>
      </w:r>
      <w:r>
        <w:rPr>
          <w:rFonts w:hint="eastAsia" w:ascii="仿宋" w:hAnsi="仿宋" w:eastAsia="仿宋" w:cs="楷体_GB2312"/>
          <w:bCs/>
          <w:kern w:val="0"/>
          <w:sz w:val="32"/>
          <w:szCs w:val="32"/>
        </w:rPr>
        <w:t>年度</w:t>
      </w:r>
      <w:r>
        <w:rPr>
          <w:rFonts w:hint="eastAsia" w:ascii="仿宋" w:hAnsi="仿宋" w:eastAsia="仿宋" w:cs="楷体_GB2312"/>
          <w:bCs/>
          <w:kern w:val="0"/>
          <w:sz w:val="32"/>
          <w:szCs w:val="32"/>
          <w:lang w:eastAsia="zh-CN"/>
        </w:rPr>
        <w:t>“</w:t>
      </w:r>
      <w:r>
        <w:rPr>
          <w:rFonts w:hint="eastAsia" w:ascii="仿宋" w:hAnsi="仿宋" w:eastAsia="仿宋" w:cs="楷体_GB2312"/>
          <w:bCs/>
          <w:kern w:val="0"/>
          <w:sz w:val="32"/>
          <w:szCs w:val="32"/>
          <w:lang w:val="en-US" w:eastAsia="zh-CN"/>
        </w:rPr>
        <w:t>养老护理员职业技能竞赛</w:t>
      </w:r>
      <w:r>
        <w:rPr>
          <w:rFonts w:hint="eastAsia" w:ascii="仿宋" w:hAnsi="仿宋" w:eastAsia="仿宋" w:cs="楷体_GB2312"/>
          <w:bCs/>
          <w:kern w:val="0"/>
          <w:sz w:val="32"/>
          <w:szCs w:val="32"/>
          <w:lang w:eastAsia="zh-CN"/>
        </w:rPr>
        <w:t>”</w:t>
      </w:r>
      <w:r>
        <w:rPr>
          <w:rFonts w:hint="eastAsia" w:ascii="仿宋" w:hAnsi="仿宋" w:eastAsia="仿宋" w:cs="楷体_GB2312"/>
          <w:bCs/>
          <w:kern w:val="0"/>
          <w:sz w:val="32"/>
          <w:szCs w:val="32"/>
        </w:rPr>
        <w:t>项目</w:t>
      </w:r>
      <w:r>
        <w:rPr>
          <w:rFonts w:hint="eastAsia" w:ascii="仿宋" w:hAnsi="仿宋" w:eastAsia="仿宋" w:cs="Times New Roman"/>
          <w:sz w:val="32"/>
          <w:szCs w:val="32"/>
        </w:rPr>
        <w:t>经费接受市财政局监督检查，项目实施规范，资料完整齐备，</w:t>
      </w:r>
      <w:r>
        <w:rPr>
          <w:rFonts w:hint="eastAsia" w:ascii="仿宋" w:hAnsi="仿宋" w:eastAsia="仿宋" w:cs="Times New Roman"/>
          <w:sz w:val="32"/>
          <w:szCs w:val="32"/>
          <w:lang w:val="en-US" w:eastAsia="zh-CN"/>
        </w:rPr>
        <w:t>参</w:t>
      </w:r>
      <w:r>
        <w:rPr>
          <w:rFonts w:hint="eastAsia" w:ascii="仿宋" w:hAnsi="仿宋" w:eastAsia="仿宋" w:cs="楷体_GB2312"/>
          <w:bCs/>
          <w:kern w:val="0"/>
          <w:sz w:val="32"/>
          <w:szCs w:val="32"/>
          <w:lang w:val="en-US" w:eastAsia="zh-CN"/>
        </w:rPr>
        <w:t>赛</w:t>
      </w:r>
      <w:r>
        <w:rPr>
          <w:rFonts w:hint="eastAsia" w:ascii="仿宋" w:hAnsi="仿宋" w:eastAsia="仿宋" w:cs="Times New Roman"/>
          <w:sz w:val="32"/>
          <w:szCs w:val="32"/>
          <w:lang w:val="en-US" w:eastAsia="zh-CN"/>
        </w:rPr>
        <w:t>参训</w:t>
      </w:r>
      <w:r>
        <w:rPr>
          <w:rFonts w:hint="eastAsia" w:ascii="仿宋" w:hAnsi="仿宋" w:eastAsia="仿宋" w:cs="楷体_GB2312"/>
          <w:bCs/>
          <w:kern w:val="0"/>
          <w:sz w:val="32"/>
          <w:szCs w:val="32"/>
          <w:lang w:val="en-US" w:eastAsia="zh-CN"/>
        </w:rPr>
        <w:t>人员对本次竞赛项目评价</w:t>
      </w:r>
      <w:r>
        <w:rPr>
          <w:rFonts w:hint="eastAsia" w:ascii="仿宋" w:hAnsi="仿宋" w:eastAsia="仿宋" w:cs="Times New Roman"/>
          <w:sz w:val="32"/>
          <w:szCs w:val="32"/>
          <w:lang w:val="en-US" w:eastAsia="zh-CN"/>
        </w:rPr>
        <w:t>满意</w:t>
      </w:r>
      <w:r>
        <w:rPr>
          <w:rFonts w:hint="eastAsia" w:ascii="仿宋" w:hAnsi="仿宋" w:eastAsia="仿宋" w:cs="Times New Roman"/>
          <w:sz w:val="32"/>
          <w:szCs w:val="32"/>
        </w:rPr>
        <w:t>。</w:t>
      </w:r>
    </w:p>
    <w:p>
      <w:pPr>
        <w:keepNext w:val="0"/>
        <w:keepLines w:val="0"/>
        <w:pageBreakBefore w:val="0"/>
        <w:widowControl w:val="0"/>
        <w:shd w:val="clear" w:color="auto" w:fill="FFFFFF"/>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b w:val="0"/>
          <w:bCs/>
          <w:kern w:val="0"/>
          <w:sz w:val="32"/>
          <w:szCs w:val="32"/>
        </w:rPr>
      </w:pPr>
      <w:r>
        <w:rPr>
          <w:rFonts w:hint="eastAsia" w:ascii="黑体" w:hAnsi="黑体" w:eastAsia="黑体" w:cs="黑体"/>
          <w:b w:val="0"/>
          <w:bCs/>
          <w:kern w:val="0"/>
          <w:sz w:val="32"/>
          <w:szCs w:val="32"/>
        </w:rPr>
        <w:t>二、项目效果</w:t>
      </w:r>
    </w:p>
    <w:p>
      <w:pPr>
        <w:pStyle w:val="10"/>
        <w:keepNext w:val="0"/>
        <w:keepLines w:val="0"/>
        <w:pageBreakBefore w:val="0"/>
        <w:widowControl w:val="0"/>
        <w:kinsoku/>
        <w:wordWrap/>
        <w:overflowPunct/>
        <w:topLinePunct w:val="0"/>
        <w:autoSpaceDE/>
        <w:autoSpaceDN/>
        <w:bidi w:val="0"/>
        <w:adjustRightInd/>
        <w:snapToGrid/>
        <w:spacing w:line="560" w:lineRule="exact"/>
        <w:ind w:firstLine="643"/>
        <w:textAlignment w:val="auto"/>
        <w:rPr>
          <w:rFonts w:ascii="仿宋" w:hAnsi="仿宋" w:eastAsia="仿宋"/>
          <w:szCs w:val="32"/>
        </w:rPr>
      </w:pPr>
      <w:r>
        <w:rPr>
          <w:rFonts w:ascii="仿宋" w:hAnsi="仿宋" w:eastAsia="仿宋" w:cs="楷体_GB2312"/>
          <w:b/>
          <w:bCs/>
          <w:kern w:val="0"/>
          <w:szCs w:val="32"/>
        </w:rPr>
        <w:t>实际效果</w:t>
      </w:r>
      <w:r>
        <w:rPr>
          <w:rFonts w:hint="eastAsia" w:ascii="仿宋" w:hAnsi="仿宋" w:eastAsia="仿宋" w:cs="楷体_GB2312"/>
          <w:b/>
          <w:bCs/>
          <w:kern w:val="0"/>
          <w:szCs w:val="32"/>
        </w:rPr>
        <w:t>：</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firstLine="640" w:firstLineChars="200"/>
        <w:jc w:val="both"/>
        <w:textAlignment w:val="auto"/>
        <w:rPr>
          <w:rFonts w:hint="eastAsia" w:ascii="仿宋_GB2312" w:hAnsi="仿宋_GB2312" w:eastAsia="仿宋_GB2312" w:cs="仿宋_GB2312"/>
          <w:sz w:val="32"/>
          <w:szCs w:val="32"/>
          <w:highlight w:val="none"/>
          <w:lang w:eastAsia="zh-CN"/>
        </w:rPr>
      </w:pPr>
      <w:r>
        <w:rPr>
          <w:rFonts w:hint="eastAsia" w:ascii="仿宋_GB2312" w:hAnsi="仿宋_GB2312" w:eastAsia="仿宋_GB2312" w:cs="仿宋_GB2312"/>
          <w:sz w:val="32"/>
          <w:szCs w:val="32"/>
          <w:highlight w:val="none"/>
        </w:rPr>
        <w:t>项目</w:t>
      </w:r>
      <w:r>
        <w:rPr>
          <w:rFonts w:hint="eastAsia" w:ascii="仿宋_GB2312" w:hAnsi="仿宋_GB2312" w:eastAsia="仿宋_GB2312" w:cs="仿宋_GB2312"/>
          <w:sz w:val="32"/>
          <w:szCs w:val="32"/>
          <w:highlight w:val="none"/>
          <w:lang w:val="en-US" w:eastAsia="zh-CN"/>
        </w:rPr>
        <w:t>从</w:t>
      </w:r>
      <w:r>
        <w:rPr>
          <w:rFonts w:hint="eastAsia" w:ascii="仿宋_GB2312" w:hAnsi="仿宋_GB2312" w:eastAsia="仿宋_GB2312" w:cs="仿宋_GB2312"/>
          <w:sz w:val="32"/>
          <w:szCs w:val="32"/>
          <w:highlight w:val="none"/>
        </w:rPr>
        <w:t>202</w:t>
      </w:r>
      <w:r>
        <w:rPr>
          <w:rFonts w:hint="eastAsia" w:ascii="仿宋_GB2312" w:hAnsi="仿宋_GB2312" w:eastAsia="仿宋_GB2312" w:cs="仿宋_GB2312"/>
          <w:sz w:val="32"/>
          <w:szCs w:val="32"/>
          <w:highlight w:val="none"/>
          <w:lang w:val="en-US" w:eastAsia="zh-CN"/>
        </w:rPr>
        <w:t>2</w:t>
      </w:r>
      <w:r>
        <w:rPr>
          <w:rFonts w:hint="eastAsia" w:ascii="仿宋_GB2312" w:hAnsi="仿宋_GB2312" w:eastAsia="仿宋_GB2312" w:cs="仿宋_GB2312"/>
          <w:sz w:val="32"/>
          <w:szCs w:val="32"/>
          <w:highlight w:val="none"/>
        </w:rPr>
        <w:t>年</w:t>
      </w:r>
      <w:r>
        <w:rPr>
          <w:rFonts w:hint="eastAsia" w:ascii="仿宋_GB2312" w:hAnsi="仿宋_GB2312" w:eastAsia="仿宋_GB2312" w:cs="仿宋_GB2312"/>
          <w:sz w:val="32"/>
          <w:szCs w:val="32"/>
          <w:highlight w:val="none"/>
          <w:lang w:val="en-US" w:eastAsia="zh-CN"/>
        </w:rPr>
        <w:t>7</w:t>
      </w:r>
      <w:r>
        <w:rPr>
          <w:rFonts w:hint="eastAsia" w:ascii="仿宋_GB2312" w:hAnsi="仿宋_GB2312" w:eastAsia="仿宋_GB2312" w:cs="仿宋_GB2312"/>
          <w:sz w:val="32"/>
          <w:szCs w:val="32"/>
          <w:highlight w:val="none"/>
        </w:rPr>
        <w:t>月</w:t>
      </w:r>
      <w:r>
        <w:rPr>
          <w:rFonts w:hint="eastAsia" w:ascii="仿宋_GB2312" w:hAnsi="仿宋_GB2312" w:eastAsia="仿宋_GB2312" w:cs="仿宋_GB2312"/>
          <w:sz w:val="32"/>
          <w:szCs w:val="32"/>
          <w:highlight w:val="none"/>
          <w:lang w:val="en-US" w:eastAsia="zh-CN"/>
        </w:rPr>
        <w:t>开始实施，</w:t>
      </w:r>
      <w:r>
        <w:rPr>
          <w:rFonts w:hint="eastAsia" w:ascii="仿宋_GB2312" w:hAnsi="仿宋_GB2312" w:eastAsia="仿宋_GB2312" w:cs="仿宋_GB2312"/>
          <w:sz w:val="32"/>
          <w:szCs w:val="32"/>
          <w:highlight w:val="none"/>
        </w:rPr>
        <w:t>202</w:t>
      </w:r>
      <w:r>
        <w:rPr>
          <w:rFonts w:hint="eastAsia" w:ascii="仿宋_GB2312" w:hAnsi="仿宋_GB2312" w:eastAsia="仿宋_GB2312" w:cs="仿宋_GB2312"/>
          <w:sz w:val="32"/>
          <w:szCs w:val="32"/>
          <w:highlight w:val="none"/>
          <w:lang w:val="en-US" w:eastAsia="zh-CN"/>
        </w:rPr>
        <w:t>2</w:t>
      </w:r>
      <w:r>
        <w:rPr>
          <w:rFonts w:hint="eastAsia" w:ascii="仿宋_GB2312" w:hAnsi="仿宋_GB2312" w:eastAsia="仿宋_GB2312" w:cs="仿宋_GB2312"/>
          <w:sz w:val="32"/>
          <w:szCs w:val="32"/>
          <w:highlight w:val="none"/>
        </w:rPr>
        <w:t>年</w:t>
      </w:r>
      <w:r>
        <w:rPr>
          <w:rFonts w:hint="eastAsia" w:ascii="仿宋_GB2312" w:hAnsi="仿宋_GB2312" w:eastAsia="仿宋_GB2312" w:cs="仿宋_GB2312"/>
          <w:sz w:val="32"/>
          <w:szCs w:val="32"/>
          <w:highlight w:val="none"/>
          <w:lang w:val="en-US" w:eastAsia="zh-CN"/>
        </w:rPr>
        <w:t>底结束</w:t>
      </w:r>
      <w:r>
        <w:rPr>
          <w:rFonts w:hint="eastAsia" w:ascii="仿宋_GB2312" w:hAnsi="仿宋_GB2312" w:eastAsia="仿宋_GB2312" w:cs="仿宋_GB2312"/>
          <w:sz w:val="32"/>
          <w:szCs w:val="32"/>
          <w:highlight w:val="none"/>
          <w:lang w:eastAsia="zh-CN"/>
        </w:rPr>
        <w:t>，</w:t>
      </w:r>
      <w:r>
        <w:rPr>
          <w:rFonts w:hint="eastAsia" w:ascii="仿宋" w:hAnsi="仿宋" w:eastAsia="仿宋" w:cs="宋体"/>
          <w:color w:val="000000"/>
          <w:kern w:val="0"/>
          <w:sz w:val="32"/>
          <w:szCs w:val="32"/>
          <w:highlight w:val="none"/>
        </w:rPr>
        <w:t>通过</w:t>
      </w:r>
      <w:r>
        <w:rPr>
          <w:rFonts w:hint="eastAsia" w:ascii="仿宋" w:hAnsi="仿宋" w:eastAsia="仿宋" w:cs="宋体"/>
          <w:color w:val="000000"/>
          <w:kern w:val="0"/>
          <w:sz w:val="32"/>
          <w:szCs w:val="32"/>
          <w:highlight w:val="none"/>
          <w:lang w:val="en-US" w:eastAsia="zh-CN"/>
        </w:rPr>
        <w:t>聘请专业三方机构对</w:t>
      </w:r>
      <w:r>
        <w:rPr>
          <w:rFonts w:hint="eastAsia" w:eastAsia="仿宋"/>
          <w:color w:val="auto"/>
          <w:sz w:val="32"/>
          <w:szCs w:val="32"/>
          <w:lang w:val="en-US" w:eastAsia="zh-CN"/>
        </w:rPr>
        <w:t>遂宁市第二届养老护理职业技能竞赛</w:t>
      </w:r>
      <w:r>
        <w:rPr>
          <w:rFonts w:hint="eastAsia" w:ascii="仿宋" w:hAnsi="仿宋" w:eastAsia="仿宋" w:cs="宋体"/>
          <w:color w:val="000000"/>
          <w:kern w:val="0"/>
          <w:sz w:val="32"/>
          <w:szCs w:val="32"/>
          <w:highlight w:val="none"/>
          <w:lang w:val="en-US" w:eastAsia="zh-CN"/>
        </w:rPr>
        <w:t>和省赛前的集训进行支持，顺利完成全市的竞赛，遂宁推荐参加省赛的4名选手全部获奖，其中:1人获得一等奖、1人获得二等奖、2人获得三等奖，遂宁市参加省赛的综合得分位列全省第二并获团体二等奖</w:t>
      </w:r>
      <w:r>
        <w:rPr>
          <w:rFonts w:hint="eastAsia" w:ascii="仿宋" w:hAnsi="仿宋" w:eastAsia="仿宋" w:cs="宋体"/>
          <w:color w:val="000000"/>
          <w:sz w:val="32"/>
          <w:szCs w:val="32"/>
          <w:highlight w:val="none"/>
          <w:lang w:eastAsia="zh-CN"/>
        </w:rPr>
        <w:t>。</w:t>
      </w:r>
      <w:r>
        <w:rPr>
          <w:rFonts w:hint="eastAsia" w:ascii="仿宋" w:hAnsi="仿宋" w:eastAsia="仿宋" w:cs="仿宋"/>
          <w:b w:val="0"/>
          <w:bCs w:val="0"/>
          <w:sz w:val="32"/>
          <w:szCs w:val="32"/>
          <w:highlight w:val="none"/>
          <w:lang w:val="en-US" w:eastAsia="zh-CN"/>
        </w:rPr>
        <w:t>通过</w:t>
      </w:r>
      <w:r>
        <w:rPr>
          <w:rFonts w:hint="eastAsia" w:ascii="仿宋" w:hAnsi="仿宋" w:eastAsia="仿宋" w:cs="楷体_GB2312"/>
          <w:bCs/>
          <w:kern w:val="0"/>
          <w:sz w:val="32"/>
          <w:szCs w:val="32"/>
          <w:lang w:val="en-US" w:eastAsia="zh-CN"/>
        </w:rPr>
        <w:t>竞赛和集训</w:t>
      </w:r>
      <w:r>
        <w:rPr>
          <w:rFonts w:hint="eastAsia" w:ascii="仿宋" w:hAnsi="仿宋" w:eastAsia="仿宋" w:cs="仿宋"/>
          <w:b w:val="0"/>
          <w:bCs/>
          <w:sz w:val="32"/>
          <w:szCs w:val="32"/>
          <w:highlight w:val="none"/>
          <w:lang w:eastAsia="zh-CN"/>
        </w:rPr>
        <w:t>，</w:t>
      </w:r>
      <w:r>
        <w:rPr>
          <w:rFonts w:hint="eastAsia" w:ascii="仿宋" w:hAnsi="仿宋" w:eastAsia="仿宋" w:cs="仿宋"/>
          <w:b w:val="0"/>
          <w:bCs/>
          <w:sz w:val="32"/>
          <w:szCs w:val="32"/>
          <w:highlight w:val="none"/>
          <w:lang w:val="en-US" w:eastAsia="zh-CN"/>
        </w:rPr>
        <w:t>有效提升</w:t>
      </w:r>
      <w:r>
        <w:rPr>
          <w:rFonts w:hint="eastAsia" w:ascii="仿宋" w:hAnsi="仿宋" w:eastAsia="仿宋" w:cs="仿宋"/>
          <w:b w:val="0"/>
          <w:bCs/>
          <w:sz w:val="32"/>
          <w:szCs w:val="32"/>
          <w:highlight w:val="none"/>
          <w:lang w:eastAsia="zh-CN"/>
        </w:rPr>
        <w:t>了</w:t>
      </w:r>
      <w:r>
        <w:rPr>
          <w:rFonts w:hint="eastAsia" w:ascii="仿宋" w:hAnsi="仿宋" w:eastAsia="仿宋"/>
          <w:sz w:val="32"/>
          <w:szCs w:val="32"/>
          <w:highlight w:val="none"/>
          <w:lang w:val="en-US" w:eastAsia="zh-CN"/>
        </w:rPr>
        <w:t>全市养老护理员专业水平，切实促进</w:t>
      </w:r>
      <w:r>
        <w:rPr>
          <w:rFonts w:hint="eastAsia" w:ascii="仿宋" w:hAnsi="仿宋" w:eastAsia="仿宋" w:cs="仿宋"/>
          <w:color w:val="000000"/>
          <w:sz w:val="32"/>
          <w:szCs w:val="32"/>
          <w:highlight w:val="none"/>
          <w:lang w:eastAsia="zh-CN"/>
        </w:rPr>
        <w:t>了全市养老服务</w:t>
      </w:r>
      <w:r>
        <w:rPr>
          <w:rFonts w:hint="eastAsia" w:ascii="仿宋" w:hAnsi="仿宋" w:eastAsia="仿宋" w:cs="仿宋"/>
          <w:color w:val="000000"/>
          <w:sz w:val="32"/>
          <w:szCs w:val="32"/>
          <w:highlight w:val="none"/>
          <w:lang w:val="en-US" w:eastAsia="zh-CN"/>
        </w:rPr>
        <w:t>高</w:t>
      </w:r>
      <w:r>
        <w:rPr>
          <w:rFonts w:hint="eastAsia" w:ascii="仿宋" w:hAnsi="仿宋" w:eastAsia="仿宋" w:cs="仿宋"/>
          <w:color w:val="000000"/>
          <w:sz w:val="32"/>
          <w:szCs w:val="32"/>
          <w:highlight w:val="none"/>
          <w:lang w:eastAsia="zh-CN"/>
        </w:rPr>
        <w:t>质量</w:t>
      </w:r>
      <w:r>
        <w:rPr>
          <w:rFonts w:hint="eastAsia" w:ascii="仿宋" w:hAnsi="仿宋" w:eastAsia="仿宋" w:cs="仿宋"/>
          <w:color w:val="000000"/>
          <w:sz w:val="32"/>
          <w:szCs w:val="32"/>
          <w:highlight w:val="none"/>
          <w:lang w:val="en-US" w:eastAsia="zh-CN"/>
        </w:rPr>
        <w:t>发展</w:t>
      </w:r>
      <w:r>
        <w:rPr>
          <w:rFonts w:hint="eastAsia" w:ascii="仿宋" w:hAnsi="仿宋" w:eastAsia="仿宋" w:cs="仿宋"/>
          <w:color w:val="000000"/>
          <w:sz w:val="32"/>
          <w:szCs w:val="32"/>
          <w:highlight w:val="none"/>
          <w:lang w:eastAsia="zh-CN"/>
        </w:rPr>
        <w:t>，满足</w:t>
      </w:r>
      <w:r>
        <w:rPr>
          <w:rFonts w:hint="eastAsia" w:ascii="仿宋" w:hAnsi="仿宋" w:eastAsia="仿宋" w:cs="仿宋"/>
          <w:color w:val="000000"/>
          <w:sz w:val="32"/>
          <w:szCs w:val="32"/>
          <w:highlight w:val="none"/>
          <w:lang w:val="en-US" w:eastAsia="zh-CN"/>
        </w:rPr>
        <w:t>了</w:t>
      </w:r>
      <w:r>
        <w:rPr>
          <w:rFonts w:hint="eastAsia" w:ascii="仿宋" w:hAnsi="仿宋" w:eastAsia="仿宋" w:cs="仿宋"/>
          <w:color w:val="000000"/>
          <w:sz w:val="32"/>
          <w:szCs w:val="32"/>
          <w:highlight w:val="none"/>
          <w:lang w:eastAsia="zh-CN"/>
        </w:rPr>
        <w:t>老年人日益增</w:t>
      </w:r>
      <w:r>
        <w:rPr>
          <w:rFonts w:hint="eastAsia" w:ascii="仿宋" w:hAnsi="仿宋" w:eastAsia="仿宋" w:cs="仿宋"/>
          <w:color w:val="000000"/>
          <w:sz w:val="32"/>
          <w:szCs w:val="32"/>
          <w:highlight w:val="none"/>
          <w:lang w:val="en-US" w:eastAsia="zh-CN"/>
        </w:rPr>
        <w:t>长</w:t>
      </w:r>
      <w:r>
        <w:rPr>
          <w:rFonts w:hint="eastAsia" w:ascii="仿宋" w:hAnsi="仿宋" w:eastAsia="仿宋" w:cs="仿宋"/>
          <w:color w:val="000000"/>
          <w:sz w:val="32"/>
          <w:szCs w:val="32"/>
          <w:highlight w:val="none"/>
          <w:lang w:eastAsia="zh-CN"/>
        </w:rPr>
        <w:t>的养老服务需求</w:t>
      </w:r>
      <w:r>
        <w:rPr>
          <w:rFonts w:hint="eastAsia" w:ascii="仿宋" w:hAnsi="仿宋" w:eastAsia="仿宋" w:cs="仿宋"/>
          <w:sz w:val="32"/>
          <w:szCs w:val="32"/>
          <w:highlight w:val="none"/>
          <w:lang w:eastAsia="zh-CN"/>
        </w:rPr>
        <w:t>。</w:t>
      </w:r>
    </w:p>
    <w:p>
      <w:pPr>
        <w:pStyle w:val="10"/>
        <w:spacing w:line="240" w:lineRule="auto"/>
        <w:ind w:firstLine="643"/>
        <w:rPr>
          <w:rFonts w:hint="eastAsia" w:ascii="仿宋" w:hAnsi="仿宋" w:eastAsia="仿宋" w:cs="楷体_GB2312"/>
          <w:b/>
          <w:bCs/>
          <w:kern w:val="0"/>
          <w:szCs w:val="32"/>
        </w:rPr>
      </w:pPr>
    </w:p>
    <w:p>
      <w:pPr>
        <w:pStyle w:val="10"/>
        <w:spacing w:line="240" w:lineRule="auto"/>
        <w:ind w:firstLine="643"/>
        <w:rPr>
          <w:rFonts w:hint="eastAsia" w:ascii="仿宋" w:hAnsi="仿宋" w:eastAsia="仿宋" w:cs="楷体_GB2312"/>
          <w:b/>
          <w:bCs/>
          <w:kern w:val="0"/>
          <w:szCs w:val="32"/>
        </w:rPr>
      </w:pPr>
      <w:r>
        <w:rPr>
          <w:rFonts w:hint="eastAsia" w:ascii="仿宋" w:hAnsi="仿宋" w:eastAsia="仿宋" w:cs="楷体_GB2312"/>
          <w:b/>
          <w:bCs/>
          <w:kern w:val="0"/>
          <w:szCs w:val="32"/>
        </w:rPr>
        <w:t>图片展示：</w:t>
      </w:r>
    </w:p>
    <w:p>
      <w:pPr>
        <w:pStyle w:val="10"/>
        <w:spacing w:line="240" w:lineRule="auto"/>
        <w:ind w:firstLine="643"/>
        <w:rPr>
          <w:rFonts w:hint="eastAsia" w:ascii="仿宋" w:hAnsi="仿宋" w:eastAsia="仿宋" w:cs="楷体_GB2312"/>
          <w:b/>
          <w:bCs/>
          <w:kern w:val="0"/>
          <w:szCs w:val="32"/>
        </w:rPr>
      </w:pPr>
      <w:r>
        <w:drawing>
          <wp:inline distT="0" distB="0" distL="114300" distR="114300">
            <wp:extent cx="2331085" cy="2139315"/>
            <wp:effectExtent l="0" t="0" r="5715"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331085" cy="2139315"/>
                    </a:xfrm>
                    <a:prstGeom prst="rect">
                      <a:avLst/>
                    </a:prstGeom>
                    <a:noFill/>
                    <a:ln>
                      <a:noFill/>
                    </a:ln>
                  </pic:spPr>
                </pic:pic>
              </a:graphicData>
            </a:graphic>
          </wp:inline>
        </w:drawing>
      </w:r>
      <w:r>
        <w:drawing>
          <wp:inline distT="0" distB="0" distL="114300" distR="114300">
            <wp:extent cx="2055495" cy="2075815"/>
            <wp:effectExtent l="0" t="0" r="1905" b="698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2055495" cy="2075815"/>
                    </a:xfrm>
                    <a:prstGeom prst="rect">
                      <a:avLst/>
                    </a:prstGeom>
                    <a:noFill/>
                    <a:ln>
                      <a:noFill/>
                    </a:ln>
                  </pic:spPr>
                </pic:pic>
              </a:graphicData>
            </a:graphic>
          </wp:inline>
        </w:drawing>
      </w:r>
      <w:r>
        <w:drawing>
          <wp:inline distT="0" distB="0" distL="114300" distR="114300">
            <wp:extent cx="2056130" cy="1619250"/>
            <wp:effectExtent l="0" t="0" r="1270" b="635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056130" cy="1619250"/>
                    </a:xfrm>
                    <a:prstGeom prst="rect">
                      <a:avLst/>
                    </a:prstGeom>
                    <a:noFill/>
                    <a:ln>
                      <a:noFill/>
                    </a:ln>
                  </pic:spPr>
                </pic:pic>
              </a:graphicData>
            </a:graphic>
          </wp:inline>
        </w:drawing>
      </w:r>
      <w:r>
        <w:drawing>
          <wp:inline distT="0" distB="0" distL="114300" distR="114300">
            <wp:extent cx="2670810" cy="1809115"/>
            <wp:effectExtent l="0" t="0" r="8890"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2670810" cy="1809115"/>
                    </a:xfrm>
                    <a:prstGeom prst="rect">
                      <a:avLst/>
                    </a:prstGeom>
                    <a:noFill/>
                    <a:ln>
                      <a:noFill/>
                    </a:ln>
                  </pic:spPr>
                </pic:pic>
              </a:graphicData>
            </a:graphic>
          </wp:inline>
        </w:drawing>
      </w:r>
      <w:r>
        <w:drawing>
          <wp:inline distT="0" distB="0" distL="114300" distR="114300">
            <wp:extent cx="2647315" cy="1734185"/>
            <wp:effectExtent l="0" t="0" r="6985" b="57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9"/>
                    <a:stretch>
                      <a:fillRect/>
                    </a:stretch>
                  </pic:blipFill>
                  <pic:spPr>
                    <a:xfrm>
                      <a:off x="0" y="0"/>
                      <a:ext cx="2647315" cy="1734185"/>
                    </a:xfrm>
                    <a:prstGeom prst="rect">
                      <a:avLst/>
                    </a:prstGeom>
                    <a:noFill/>
                    <a:ln>
                      <a:noFill/>
                    </a:ln>
                  </pic:spPr>
                </pic:pic>
              </a:graphicData>
            </a:graphic>
          </wp:inline>
        </w:drawing>
      </w:r>
      <w:r>
        <w:drawing>
          <wp:inline distT="0" distB="0" distL="114300" distR="114300">
            <wp:extent cx="2421255" cy="1854835"/>
            <wp:effectExtent l="0" t="0" r="4445" b="1206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0"/>
                    <a:stretch>
                      <a:fillRect/>
                    </a:stretch>
                  </pic:blipFill>
                  <pic:spPr>
                    <a:xfrm>
                      <a:off x="0" y="0"/>
                      <a:ext cx="2421255" cy="1854835"/>
                    </a:xfrm>
                    <a:prstGeom prst="rect">
                      <a:avLst/>
                    </a:prstGeom>
                    <a:noFill/>
                    <a:ln>
                      <a:noFill/>
                    </a:ln>
                  </pic:spPr>
                </pic:pic>
              </a:graphicData>
            </a:graphic>
          </wp:inline>
        </w:drawing>
      </w:r>
      <w:r>
        <w:drawing>
          <wp:inline distT="0" distB="0" distL="114300" distR="114300">
            <wp:extent cx="5225415" cy="2254250"/>
            <wp:effectExtent l="0" t="0" r="6985" b="635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1"/>
                    <a:stretch>
                      <a:fillRect/>
                    </a:stretch>
                  </pic:blipFill>
                  <pic:spPr>
                    <a:xfrm>
                      <a:off x="0" y="0"/>
                      <a:ext cx="5225415" cy="2254250"/>
                    </a:xfrm>
                    <a:prstGeom prst="rect">
                      <a:avLst/>
                    </a:prstGeom>
                    <a:noFill/>
                    <a:ln>
                      <a:noFill/>
                    </a:ln>
                  </pic:spPr>
                </pic:pic>
              </a:graphicData>
            </a:graphic>
          </wp:inline>
        </w:drawing>
      </w:r>
    </w:p>
    <w:p>
      <w:pPr>
        <w:pStyle w:val="10"/>
        <w:spacing w:line="240" w:lineRule="auto"/>
        <w:ind w:firstLine="643"/>
        <w:rPr>
          <w:rFonts w:hint="eastAsia" w:ascii="仿宋" w:hAnsi="仿宋" w:eastAsia="仿宋" w:cs="楷体_GB2312"/>
          <w:b/>
          <w:bCs/>
          <w:kern w:val="0"/>
          <w:szCs w:val="32"/>
        </w:rPr>
      </w:pPr>
    </w:p>
    <w:p>
      <w:pPr>
        <w:pStyle w:val="10"/>
        <w:spacing w:line="240" w:lineRule="auto"/>
        <w:ind w:firstLine="643"/>
        <w:rPr>
          <w:rFonts w:hint="eastAsia" w:ascii="黑体" w:hAnsi="黑体" w:eastAsia="黑体" w:cs="黑体"/>
          <w:b w:val="0"/>
          <w:bCs/>
          <w:color w:val="000000"/>
          <w:kern w:val="0"/>
          <w:sz w:val="32"/>
          <w:szCs w:val="32"/>
        </w:rPr>
      </w:pPr>
      <w:r>
        <w:rPr>
          <w:rFonts w:hint="eastAsia" w:ascii="仿宋" w:hAnsi="仿宋" w:eastAsia="仿宋" w:cs="楷体_GB2312"/>
          <w:b/>
          <w:bCs/>
          <w:kern w:val="0"/>
          <w:szCs w:val="32"/>
          <w:lang w:val="en-US" w:eastAsia="zh-CN"/>
        </w:rPr>
        <w:t xml:space="preserve"> </w:t>
      </w:r>
      <w:r>
        <w:rPr>
          <w:rFonts w:hint="eastAsia" w:ascii="黑体" w:hAnsi="黑体" w:eastAsia="黑体" w:cs="黑体"/>
          <w:b w:val="0"/>
          <w:bCs/>
          <w:color w:val="000000"/>
          <w:kern w:val="0"/>
          <w:sz w:val="32"/>
          <w:szCs w:val="32"/>
        </w:rPr>
        <w:t>三、资金管理办法</w:t>
      </w:r>
    </w:p>
    <w:p>
      <w:pPr>
        <w:pStyle w:val="10"/>
        <w:rPr>
          <w:rFonts w:hint="eastAsia" w:ascii="仿宋" w:hAnsi="仿宋" w:eastAsia="仿宋" w:cs="Times New Roman"/>
          <w:color w:val="000000"/>
          <w:kern w:val="0"/>
          <w:szCs w:val="32"/>
          <w:lang w:eastAsia="zh-CN"/>
        </w:rPr>
      </w:pPr>
      <w:r>
        <w:rPr>
          <w:rFonts w:hint="eastAsia" w:ascii="仿宋" w:hAnsi="仿宋" w:eastAsia="仿宋" w:cs="Times New Roman"/>
          <w:color w:val="000000"/>
          <w:kern w:val="0"/>
          <w:szCs w:val="32"/>
          <w:lang w:val="en-US" w:eastAsia="zh-CN"/>
        </w:rPr>
        <w:t>项目严格按照《中央集中彩票公益金支持社会福利事业资金使用管理办法》（财社〔2021〕60号）、民政部办公厅关于印发《民政部彩票公益金使用管理办法》等六个办法的通知（民办发〔2019〕34号）、《四川省中央和省级财政彩票公益金支持社会福利事业资金管理办法》（川财社〔2020〕64号）、《四川省民政厅福利彩票公益金使用管理办法（川民发〔2021〕102号）、《遂宁市福利彩票公益金管理办法》（遂财规〔2020〕2号）等进行管理</w:t>
      </w:r>
      <w:r>
        <w:rPr>
          <w:rFonts w:hint="eastAsia" w:ascii="仿宋" w:hAnsi="仿宋" w:eastAsia="仿宋" w:cs="Times New Roman"/>
          <w:color w:val="000000"/>
          <w:kern w:val="0"/>
          <w:szCs w:val="32"/>
          <w:lang w:eastAsia="zh-CN"/>
        </w:rPr>
        <w:t>。</w:t>
      </w:r>
    </w:p>
    <w:p/>
    <w:sectPr>
      <w:footerReference r:id="rId3" w:type="default"/>
      <w:pgSz w:w="11906" w:h="16838"/>
      <w:pgMar w:top="1440" w:right="1800" w:bottom="1440" w:left="180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仿宋简体">
    <w:altName w:val="微软雅黑"/>
    <w:panose1 w:val="00000000000000000000"/>
    <w:charset w:val="86"/>
    <w:family w:val="auto"/>
    <w:pitch w:val="default"/>
    <w:sig w:usb0="00000000" w:usb1="00000000" w:usb2="00000000" w:usb3="00000000" w:csb0="00040000" w:csb1="00000000"/>
  </w:font>
  <w:font w:name="方正小标宋简体">
    <w:altName w:val="黑体"/>
    <w:panose1 w:val="02010601030101010101"/>
    <w:charset w:val="86"/>
    <w:family w:val="script"/>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0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5"/>
                          </w:pPr>
                          <w:r>
                            <w:t xml:space="preserve">— </w:t>
                          </w:r>
                          <w:r>
                            <w:fldChar w:fldCharType="begin"/>
                          </w:r>
                          <w:r>
                            <w:instrText xml:space="preserve"> PAGE  \* MERGEFORMAT </w:instrText>
                          </w:r>
                          <w:r>
                            <w:fldChar w:fldCharType="separate"/>
                          </w:r>
                          <w:r>
                            <w:t>1</w:t>
                          </w:r>
                          <w:r>
                            <w:fldChar w:fldCharType="end"/>
                          </w:r>
                          <w:r>
                            <w:t xml:space="preserve"> —</w:t>
                          </w:r>
                        </w:p>
                      </w:txbxContent>
                    </wps:txbx>
                    <wps:bodyPr wrap="none" lIns="0" tIns="0" rIns="0" bIns="0" upright="0">
                      <a:spAutoFit/>
                    </wps:bodyPr>
                  </wps:wsp>
                </a:graphicData>
              </a:graphic>
            </wp:anchor>
          </w:drawing>
        </mc:Choice>
        <mc:Fallback>
          <w:pict>
            <v:shape id="文本框 1025"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M6pebnPAAAABQEA&#10;AA8AAAAAAAAAAQAgAAAAIgAAAGRycy9kb3ducmV2LnhtbFBLAQIUABQAAAAIAIdO4kCKLCCisQEA&#10;AE4DAAAOAAAAAAAAAAEAIAAAAB4BAABkcnMvZTJvRG9jLnhtbFBLBQYAAAAABgAGAFkBAABBBQAA&#10;AAA=&#10;">
              <v:fill on="f" focussize="0,0"/>
              <v:stroke on="f"/>
              <v:imagedata o:title=""/>
              <o:lock v:ext="edit" aspectratio="f"/>
              <v:textbox inset="0mm,0mm,0mm,0mm" style="mso-fit-shape-to-text:t;">
                <w:txbxContent>
                  <w:p>
                    <w:pPr>
                      <w:pStyle w:val="5"/>
                    </w:pPr>
                    <w:r>
                      <w:t xml:space="preserve">— </w:t>
                    </w:r>
                    <w:r>
                      <w:fldChar w:fldCharType="begin"/>
                    </w:r>
                    <w:r>
                      <w:instrText xml:space="preserve"> PAGE  \* MERGEFORMAT </w:instrText>
                    </w:r>
                    <w:r>
                      <w:fldChar w:fldCharType="separate"/>
                    </w:r>
                    <w:r>
                      <w:t>1</w:t>
                    </w:r>
                    <w:r>
                      <w:fldChar w:fldCharType="end"/>
                    </w:r>
                    <w:r>
                      <w:t xml:space="preserve"> —</w:t>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E4ODQ2M2E5YWJkY2ZmOTY2NWQ5MzUxMzI0MTBlYTMifQ=="/>
  </w:docVars>
  <w:rsids>
    <w:rsidRoot w:val="00BD3682"/>
    <w:rsid w:val="0000451E"/>
    <w:rsid w:val="00005F06"/>
    <w:rsid w:val="00033405"/>
    <w:rsid w:val="00060125"/>
    <w:rsid w:val="000950C4"/>
    <w:rsid w:val="000A2144"/>
    <w:rsid w:val="000D2610"/>
    <w:rsid w:val="000D4DAE"/>
    <w:rsid w:val="001003FA"/>
    <w:rsid w:val="0014787C"/>
    <w:rsid w:val="00164B82"/>
    <w:rsid w:val="00185F78"/>
    <w:rsid w:val="00250669"/>
    <w:rsid w:val="00262E32"/>
    <w:rsid w:val="002A7024"/>
    <w:rsid w:val="002B1B8A"/>
    <w:rsid w:val="002E67AA"/>
    <w:rsid w:val="00357B00"/>
    <w:rsid w:val="00385A31"/>
    <w:rsid w:val="003B6D84"/>
    <w:rsid w:val="00424B42"/>
    <w:rsid w:val="004532BC"/>
    <w:rsid w:val="004A0504"/>
    <w:rsid w:val="004E5C59"/>
    <w:rsid w:val="004F4C21"/>
    <w:rsid w:val="004F7455"/>
    <w:rsid w:val="005831EB"/>
    <w:rsid w:val="005E5FB0"/>
    <w:rsid w:val="006433CF"/>
    <w:rsid w:val="006438F0"/>
    <w:rsid w:val="00663F24"/>
    <w:rsid w:val="00682F57"/>
    <w:rsid w:val="006851A3"/>
    <w:rsid w:val="006D2CCC"/>
    <w:rsid w:val="0070695F"/>
    <w:rsid w:val="0072207E"/>
    <w:rsid w:val="00824607"/>
    <w:rsid w:val="008302F8"/>
    <w:rsid w:val="008E6384"/>
    <w:rsid w:val="009378CA"/>
    <w:rsid w:val="009477F7"/>
    <w:rsid w:val="00953DC4"/>
    <w:rsid w:val="00991994"/>
    <w:rsid w:val="009A695A"/>
    <w:rsid w:val="009E5067"/>
    <w:rsid w:val="00A71191"/>
    <w:rsid w:val="00A71CF6"/>
    <w:rsid w:val="00AC77FA"/>
    <w:rsid w:val="00AD07A9"/>
    <w:rsid w:val="00AF0C33"/>
    <w:rsid w:val="00AF5EC6"/>
    <w:rsid w:val="00B00795"/>
    <w:rsid w:val="00B07F6F"/>
    <w:rsid w:val="00B3445F"/>
    <w:rsid w:val="00B66BD3"/>
    <w:rsid w:val="00BD3119"/>
    <w:rsid w:val="00BD3682"/>
    <w:rsid w:val="00C164D6"/>
    <w:rsid w:val="00C51C70"/>
    <w:rsid w:val="00CB36C7"/>
    <w:rsid w:val="00D25D8E"/>
    <w:rsid w:val="00D3344B"/>
    <w:rsid w:val="00D36437"/>
    <w:rsid w:val="00D747BC"/>
    <w:rsid w:val="00D76019"/>
    <w:rsid w:val="00DF09FF"/>
    <w:rsid w:val="00ED1B5D"/>
    <w:rsid w:val="00F97704"/>
    <w:rsid w:val="00FD5360"/>
    <w:rsid w:val="00FF036B"/>
    <w:rsid w:val="01395070"/>
    <w:rsid w:val="049F168E"/>
    <w:rsid w:val="0516142A"/>
    <w:rsid w:val="0640428E"/>
    <w:rsid w:val="08E12275"/>
    <w:rsid w:val="0C0355A4"/>
    <w:rsid w:val="112A3988"/>
    <w:rsid w:val="119E3805"/>
    <w:rsid w:val="11B008D4"/>
    <w:rsid w:val="14171240"/>
    <w:rsid w:val="145615C1"/>
    <w:rsid w:val="15707C41"/>
    <w:rsid w:val="15B825AF"/>
    <w:rsid w:val="185D44C4"/>
    <w:rsid w:val="1BA531F2"/>
    <w:rsid w:val="1CC701CF"/>
    <w:rsid w:val="1ED64494"/>
    <w:rsid w:val="21894F4E"/>
    <w:rsid w:val="262525E5"/>
    <w:rsid w:val="283D06F2"/>
    <w:rsid w:val="2B872ED7"/>
    <w:rsid w:val="2C6E29E2"/>
    <w:rsid w:val="2DF25065"/>
    <w:rsid w:val="2E8D2961"/>
    <w:rsid w:val="31030DBF"/>
    <w:rsid w:val="326D3139"/>
    <w:rsid w:val="380D6333"/>
    <w:rsid w:val="384E5182"/>
    <w:rsid w:val="39131727"/>
    <w:rsid w:val="394C69E7"/>
    <w:rsid w:val="3F4F0FDF"/>
    <w:rsid w:val="41075C9E"/>
    <w:rsid w:val="420559F8"/>
    <w:rsid w:val="43D40544"/>
    <w:rsid w:val="495F15F5"/>
    <w:rsid w:val="49FC20A6"/>
    <w:rsid w:val="4D866514"/>
    <w:rsid w:val="4F1E630D"/>
    <w:rsid w:val="4FFB2115"/>
    <w:rsid w:val="51B353FD"/>
    <w:rsid w:val="52285DEB"/>
    <w:rsid w:val="52FB52AE"/>
    <w:rsid w:val="53887254"/>
    <w:rsid w:val="54D656F3"/>
    <w:rsid w:val="55D32512"/>
    <w:rsid w:val="5FEDDD8F"/>
    <w:rsid w:val="651D0F17"/>
    <w:rsid w:val="6A1F142A"/>
    <w:rsid w:val="6B9A16B0"/>
    <w:rsid w:val="6BCD2867"/>
    <w:rsid w:val="6F767D3E"/>
    <w:rsid w:val="6FA7614A"/>
    <w:rsid w:val="71A315EC"/>
    <w:rsid w:val="728269FA"/>
    <w:rsid w:val="754D5466"/>
    <w:rsid w:val="76E2215D"/>
    <w:rsid w:val="78C5709B"/>
    <w:rsid w:val="79C618C2"/>
    <w:rsid w:val="7AE02C09"/>
    <w:rsid w:val="7D2C6836"/>
    <w:rsid w:val="7EEE9A8D"/>
    <w:rsid w:val="7F7259B7"/>
    <w:rsid w:val="7FD03F2A"/>
    <w:rsid w:val="FEDF78A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Calibri"/>
      <w:kern w:val="2"/>
      <w:sz w:val="21"/>
      <w:szCs w:val="21"/>
      <w:lang w:val="en-US" w:eastAsia="zh-CN" w:bidi="ar-SA"/>
    </w:rPr>
  </w:style>
  <w:style w:type="character" w:default="1" w:styleId="9">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Normal Indent"/>
    <w:basedOn w:val="1"/>
    <w:qFormat/>
    <w:uiPriority w:val="0"/>
    <w:pPr>
      <w:widowControl w:val="0"/>
      <w:ind w:firstLine="420"/>
    </w:pPr>
    <w:rPr>
      <w:rFonts w:ascii="Calibri" w:hAnsi="Calibri" w:eastAsia="宋体" w:cs="Times New Roman"/>
      <w:szCs w:val="20"/>
      <w:lang w:val="en-US" w:eastAsia="zh-CN" w:bidi="ar-SA"/>
    </w:rPr>
  </w:style>
  <w:style w:type="paragraph" w:styleId="3">
    <w:name w:val="Body Text"/>
    <w:basedOn w:val="1"/>
    <w:link w:val="14"/>
    <w:semiHidden/>
    <w:unhideWhenUsed/>
    <w:qFormat/>
    <w:uiPriority w:val="99"/>
    <w:pPr>
      <w:spacing w:after="120"/>
    </w:pPr>
  </w:style>
  <w:style w:type="paragraph" w:styleId="4">
    <w:name w:val="Balloon Text"/>
    <w:basedOn w:val="1"/>
    <w:link w:val="13"/>
    <w:semiHidden/>
    <w:unhideWhenUsed/>
    <w:qFormat/>
    <w:uiPriority w:val="99"/>
    <w:rPr>
      <w:sz w:val="18"/>
      <w:szCs w:val="18"/>
    </w:rPr>
  </w:style>
  <w:style w:type="paragraph" w:styleId="5">
    <w:name w:val="footer"/>
    <w:basedOn w:val="1"/>
    <w:link w:val="12"/>
    <w:unhideWhenUsed/>
    <w:qFormat/>
    <w:uiPriority w:val="99"/>
    <w:pPr>
      <w:tabs>
        <w:tab w:val="center" w:pos="4153"/>
        <w:tab w:val="right" w:pos="8306"/>
      </w:tabs>
      <w:snapToGrid w:val="0"/>
      <w:jc w:val="left"/>
    </w:pPr>
    <w:rPr>
      <w:sz w:val="18"/>
      <w:szCs w:val="18"/>
    </w:rPr>
  </w:style>
  <w:style w:type="paragraph" w:styleId="6">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Body Text First Indent"/>
    <w:basedOn w:val="3"/>
    <w:link w:val="15"/>
    <w:qFormat/>
    <w:uiPriority w:val="0"/>
    <w:pPr>
      <w:ind w:firstLine="420" w:firstLineChars="100"/>
    </w:pPr>
    <w:rPr>
      <w:rFonts w:ascii="Times New Roman" w:hAnsi="Times New Roman" w:cs="Times New Roman"/>
      <w:kern w:val="0"/>
      <w:sz w:val="34"/>
      <w:szCs w:val="34"/>
    </w:rPr>
  </w:style>
  <w:style w:type="paragraph" w:customStyle="1" w:styleId="10">
    <w:name w:val="常用样式（方正仿宋简）"/>
    <w:basedOn w:val="1"/>
    <w:qFormat/>
    <w:uiPriority w:val="99"/>
    <w:pPr>
      <w:spacing w:line="560" w:lineRule="exact"/>
      <w:ind w:firstLine="640" w:firstLineChars="200"/>
    </w:pPr>
    <w:rPr>
      <w:rFonts w:eastAsia="方正仿宋简体"/>
      <w:sz w:val="32"/>
    </w:rPr>
  </w:style>
  <w:style w:type="character" w:customStyle="1" w:styleId="11">
    <w:name w:val="页眉 Char"/>
    <w:basedOn w:val="9"/>
    <w:link w:val="6"/>
    <w:qFormat/>
    <w:uiPriority w:val="99"/>
    <w:rPr>
      <w:rFonts w:ascii="Calibri" w:hAnsi="Calibri" w:eastAsia="宋体" w:cs="Calibri"/>
      <w:sz w:val="18"/>
      <w:szCs w:val="18"/>
    </w:rPr>
  </w:style>
  <w:style w:type="character" w:customStyle="1" w:styleId="12">
    <w:name w:val="页脚 Char"/>
    <w:basedOn w:val="9"/>
    <w:link w:val="5"/>
    <w:qFormat/>
    <w:uiPriority w:val="99"/>
    <w:rPr>
      <w:rFonts w:ascii="Calibri" w:hAnsi="Calibri" w:eastAsia="宋体" w:cs="Calibri"/>
      <w:sz w:val="18"/>
      <w:szCs w:val="18"/>
    </w:rPr>
  </w:style>
  <w:style w:type="character" w:customStyle="1" w:styleId="13">
    <w:name w:val="批注框文本 Char"/>
    <w:basedOn w:val="9"/>
    <w:link w:val="4"/>
    <w:semiHidden/>
    <w:qFormat/>
    <w:uiPriority w:val="99"/>
    <w:rPr>
      <w:rFonts w:ascii="Calibri" w:hAnsi="Calibri" w:eastAsia="宋体" w:cs="Calibri"/>
      <w:kern w:val="2"/>
      <w:sz w:val="18"/>
      <w:szCs w:val="18"/>
    </w:rPr>
  </w:style>
  <w:style w:type="character" w:customStyle="1" w:styleId="14">
    <w:name w:val="正文文本 Char"/>
    <w:basedOn w:val="9"/>
    <w:link w:val="3"/>
    <w:semiHidden/>
    <w:qFormat/>
    <w:uiPriority w:val="99"/>
    <w:rPr>
      <w:rFonts w:ascii="Calibri" w:hAnsi="Calibri" w:eastAsia="宋体" w:cs="Calibri"/>
      <w:kern w:val="2"/>
      <w:sz w:val="21"/>
      <w:szCs w:val="21"/>
    </w:rPr>
  </w:style>
  <w:style w:type="character" w:customStyle="1" w:styleId="15">
    <w:name w:val="正文首行缩进 Char"/>
    <w:basedOn w:val="14"/>
    <w:link w:val="7"/>
    <w:qFormat/>
    <w:uiPriority w:val="0"/>
    <w:rPr>
      <w:rFonts w:ascii="Times New Roman" w:hAnsi="Times New Roman" w:cs="Times New Roman"/>
      <w:sz w:val="34"/>
      <w:szCs w:val="3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Pages>
  <Words>797</Words>
  <Characters>878</Characters>
  <Lines>4</Lines>
  <Paragraphs>1</Paragraphs>
  <TotalTime>3</TotalTime>
  <ScaleCrop>false</ScaleCrop>
  <LinksUpToDate>false</LinksUpToDate>
  <CharactersWithSpaces>879</CharactersWithSpaces>
  <Application>WPS Office_11.8.6.8810_F1E327BC-269C-435d-A152-05C5408002CA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2022-04-24T07:36:00Z</dcterms:created>
  <dc:creator>wan fj</dc:creator>
  <cp:lastModifiedBy>胡钦</cp:lastModifiedBy>
  <dcterms:modified xsi:type="dcterms:W3CDTF">2023-07-17T03:39:21Z</dcterms:modified>
  <cp:revision>47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2052-11.8.6.8810</vt:lpwstr>
  </property>
  <property fmtid="{D5CDD505-2E9C-101B-9397-08002B2CF9AE}" pid="3" name="commondata">
    <vt:lpwstr>eyJoZGlkIjoiZjFlMTdmZmU0MDJkMGMxMTBlOTNmMzBlMDAwN2U4NDQifQ==</vt:lpwstr>
  </property>
  <property fmtid="{D5CDD505-2E9C-101B-9397-08002B2CF9AE}" pid="4" name="ICV">
    <vt:lpwstr>0BCE749B620D483DA85FF200826795E4_13</vt:lpwstr>
  </property>
</Properties>
</file>