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82" w:type="dxa"/>
        <w:jc w:val="center"/>
        <w:tblLayout w:type="fixed"/>
        <w:tblCellMar>
          <w:top w:w="0" w:type="dxa"/>
          <w:left w:w="108" w:type="dxa"/>
          <w:bottom w:w="0" w:type="dxa"/>
          <w:right w:w="108" w:type="dxa"/>
        </w:tblCellMar>
      </w:tblPr>
      <w:tblGrid>
        <w:gridCol w:w="2127"/>
        <w:gridCol w:w="645"/>
        <w:gridCol w:w="1056"/>
        <w:gridCol w:w="5231"/>
        <w:gridCol w:w="723"/>
      </w:tblGrid>
      <w:tr>
        <w:tblPrEx>
          <w:tblCellMar>
            <w:top w:w="0" w:type="dxa"/>
            <w:left w:w="108" w:type="dxa"/>
            <w:bottom w:w="0" w:type="dxa"/>
            <w:right w:w="108" w:type="dxa"/>
          </w:tblCellMar>
        </w:tblPrEx>
        <w:trPr>
          <w:trHeight w:val="585" w:hRule="atLeast"/>
          <w:jc w:val="center"/>
        </w:trPr>
        <w:tc>
          <w:tcPr>
            <w:tcW w:w="9782" w:type="dxa"/>
            <w:gridSpan w:val="5"/>
            <w:tcBorders>
              <w:top w:val="nil"/>
              <w:left w:val="nil"/>
              <w:bottom w:val="nil"/>
              <w:right w:val="nil"/>
            </w:tcBorders>
            <w:shd w:val="clear" w:color="auto" w:fill="auto"/>
            <w:noWrap/>
            <w:vAlign w:val="center"/>
          </w:tcPr>
          <w:p>
            <w:pPr>
              <w:widowControl/>
              <w:jc w:val="center"/>
              <w:rPr>
                <w:rFonts w:ascii="方正小标宋_GBK" w:hAnsi="宋体" w:eastAsia="方正小标宋_GBK" w:cs="宋体"/>
                <w:color w:val="auto"/>
                <w:kern w:val="0"/>
                <w:sz w:val="32"/>
                <w:szCs w:val="32"/>
              </w:rPr>
            </w:pPr>
            <w:bookmarkStart w:id="0" w:name="_GoBack"/>
            <w:bookmarkEnd w:id="0"/>
          </w:p>
          <w:p>
            <w:pPr>
              <w:widowControl/>
              <w:jc w:val="center"/>
              <w:rPr>
                <w:rFonts w:ascii="方正小标宋_GBK" w:hAnsi="宋体" w:eastAsia="方正小标宋_GBK" w:cs="宋体"/>
                <w:color w:val="auto"/>
                <w:kern w:val="0"/>
                <w:sz w:val="32"/>
                <w:szCs w:val="32"/>
              </w:rPr>
            </w:pPr>
            <w:r>
              <w:rPr>
                <w:rFonts w:hint="eastAsia" w:ascii="方正小标宋_GBK" w:hAnsi="宋体" w:eastAsia="方正小标宋_GBK" w:cs="宋体"/>
                <w:color w:val="auto"/>
                <w:kern w:val="0"/>
                <w:sz w:val="32"/>
                <w:szCs w:val="32"/>
              </w:rPr>
              <w:t>市民政局行政权力清单</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部门</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序号</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权力类型</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权力名称</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auto"/>
                <w:kern w:val="0"/>
                <w:sz w:val="18"/>
                <w:szCs w:val="18"/>
              </w:rPr>
            </w:pPr>
            <w:r>
              <w:rPr>
                <w:rFonts w:hint="eastAsia" w:ascii="黑体" w:hAnsi="黑体" w:eastAsia="黑体" w:cs="宋体"/>
                <w:color w:val="auto"/>
                <w:kern w:val="0"/>
                <w:sz w:val="18"/>
                <w:szCs w:val="18"/>
              </w:rPr>
              <w:t>备注</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社会团体成立、变更、注销登记</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民办非企业单位成立、变更、注销登记</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1125"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建设殡仪服务站、骨灰堂的审批</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对建设殡仪馆、火葬场提出方案，报市政府审批</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社会团体修改章程核准</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民办非企业单位修改章程核准</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慈善组织公开募捐资格审批</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社会团体申请登记时弄虚作假，骗取登记，或者自取得《社会团体法人登记证书》之日起1年内未开展活动的处罚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15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对民办非企业单位在申请登记时弄虚作假，骗取登记的处罚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15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15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养老机构未与老年人或者其代理人签订服务协议（或者协议不符合规定），未按照国家有关标准和规定开展服务，配备人员的资格不符合规定，向负责监督检查的民政部门隐瞒有关情况、提供虚假材料或者拒绝提供反映其活动情况真实材料，利用养老机构的房屋、场地、设施开展与养老服务宗旨无关的活动，歧视、侮辱、虐待或遗弃老年人以及其他侵犯老年人合法权益行为的处罚，擅自暂停或者终止服务等情形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对未经批准，擅自建设殡葬设施的处罚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对墓穴占地面积超过标准的处罚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对非法从事经营性殡葬服务的处罚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90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15</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对制造、销售不符合国家技术标准的殡葬设备的处罚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与市市场监管局按职责分工分别行使</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16</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对制造、销售封建迷信殡葬用品的处罚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对慈善组织未按照慈善宗旨开展活动的;私分、挪用、截留或者侵占慈善财产的;接受附加违反法律法规或者违背社会公德条件的捐赠，或者对受益人附加违反法律法规或者违背社会公德的条件的处罚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15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慈善组织违反《中华人民共和国慈善法》第十四条规定造成慈善财产损失的;将不得用于投资的财产用于投资的;擅自改变捐赠财产用途的;开展慈善活动的年度支出或者管理费用的标准违反《中华人民共和国慈善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112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慈善组织违反《中华人民共和国慈善法》第九十九条第一款和第二款规定的情形，经依法处理后一年内再出现规定的情形或者有其他情节严重情形的;弄虚作假骗取税收优惠且情节严重的;从事、资助危害国家安全或者社会公共利益活动被有关机关依法查处后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对慈善组织有《中华人民共和国慈善法》第九十八条、第九十九条规定的情形、有违法所得的处罚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90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对有关组织和个人不具有公开募捐资格开展公开募捐的；通过虚构事实等方式欺骗、诱导募捐对象实施捐赠的；向单位或者个人摊派或者变相摊派的；妨碍公共秩序、企业生产经营或者居民生活的处罚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对慈善组织不依法向捐赠人开具捐赠票据、不依法向志愿者出具志愿服务记录证明或者不及时主动向捐赠人反馈有关情况的处罚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对慈善信托的受托人及直接负责的主管人员和其他直接责任人将信托财产及其收益用于非慈善目的的；未按照规定将信托事务处理情况及财务状况向民政部门报告或者向社会公开的处罚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13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24</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情形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25</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行政确认</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华侨及居住在香港、澳门、台湾地区的中国公民在内地收养子女登记</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涉密</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26</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行政确认</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慈善组织认定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ascii="Calibri" w:hAnsi="Calibri" w:eastAsia="宋体" w:cs="宋体"/>
                <w:color w:val="auto"/>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27</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行政检查</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对社会团体实施年度检查和违反《社会团体登记管理条例》行为的监督检查</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对民办非企业单位年度检查和违反《民办非企业单位登记管理暂行条例》行为的监督检查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对养老机构的监督检查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对社会公共墓地、殡仪馆、殡仪服务站开展行政检查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对慈善活动进行监督检查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取缔非法社会团体</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r>
        <w:tblPrEx>
          <w:tblCellMar>
            <w:top w:w="0" w:type="dxa"/>
            <w:left w:w="108" w:type="dxa"/>
            <w:bottom w:w="0" w:type="dxa"/>
            <w:right w:w="108" w:type="dxa"/>
          </w:tblCellMar>
        </w:tblPrEx>
        <w:trPr>
          <w:trHeight w:val="478"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市民政局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取缔非法民办非企业单位</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r>
    </w:tbl>
    <w:p/>
    <w:sectPr>
      <w:pgSz w:w="11906" w:h="16838"/>
      <w:pgMar w:top="1814"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6112"/>
    <w:rsid w:val="000130EF"/>
    <w:rsid w:val="00074224"/>
    <w:rsid w:val="000A03A8"/>
    <w:rsid w:val="000C4BF7"/>
    <w:rsid w:val="000D1BB5"/>
    <w:rsid w:val="000E1950"/>
    <w:rsid w:val="001A62DD"/>
    <w:rsid w:val="001C59B6"/>
    <w:rsid w:val="001E70CD"/>
    <w:rsid w:val="00205E7F"/>
    <w:rsid w:val="002654C6"/>
    <w:rsid w:val="002A2A58"/>
    <w:rsid w:val="002C6932"/>
    <w:rsid w:val="002E4A6D"/>
    <w:rsid w:val="00313E97"/>
    <w:rsid w:val="00393B0F"/>
    <w:rsid w:val="003D226E"/>
    <w:rsid w:val="003F457F"/>
    <w:rsid w:val="00452DED"/>
    <w:rsid w:val="00484643"/>
    <w:rsid w:val="004D6B30"/>
    <w:rsid w:val="00596E69"/>
    <w:rsid w:val="005C7058"/>
    <w:rsid w:val="006247CA"/>
    <w:rsid w:val="006A3957"/>
    <w:rsid w:val="00763091"/>
    <w:rsid w:val="00781D88"/>
    <w:rsid w:val="007A6AD6"/>
    <w:rsid w:val="007E17D4"/>
    <w:rsid w:val="007E3E86"/>
    <w:rsid w:val="00916112"/>
    <w:rsid w:val="00923EE1"/>
    <w:rsid w:val="009442C3"/>
    <w:rsid w:val="00950896"/>
    <w:rsid w:val="0098423D"/>
    <w:rsid w:val="009E56DE"/>
    <w:rsid w:val="00A75557"/>
    <w:rsid w:val="00AE639D"/>
    <w:rsid w:val="00AF3B1E"/>
    <w:rsid w:val="00B13A91"/>
    <w:rsid w:val="00BD4112"/>
    <w:rsid w:val="00BF04A4"/>
    <w:rsid w:val="00C80F6D"/>
    <w:rsid w:val="00D64DA7"/>
    <w:rsid w:val="00DD1250"/>
    <w:rsid w:val="00DD3034"/>
    <w:rsid w:val="00E1594A"/>
    <w:rsid w:val="00E433A7"/>
    <w:rsid w:val="00E74C38"/>
    <w:rsid w:val="00EC54DB"/>
    <w:rsid w:val="00F11A41"/>
    <w:rsid w:val="00F40EA8"/>
    <w:rsid w:val="00F63AEA"/>
    <w:rsid w:val="00F917B4"/>
    <w:rsid w:val="00F97113"/>
    <w:rsid w:val="00FA0F38"/>
    <w:rsid w:val="0CB14024"/>
    <w:rsid w:val="0CD9286A"/>
    <w:rsid w:val="3F0D76DB"/>
    <w:rsid w:val="49D74053"/>
    <w:rsid w:val="53A15582"/>
    <w:rsid w:val="5C301442"/>
    <w:rsid w:val="675E6E9A"/>
    <w:rsid w:val="6F1A2F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253</Pages>
  <Words>47114</Words>
  <Characters>268550</Characters>
  <Lines>2237</Lines>
  <Paragraphs>630</Paragraphs>
  <TotalTime>19</TotalTime>
  <ScaleCrop>false</ScaleCrop>
  <LinksUpToDate>false</LinksUpToDate>
  <CharactersWithSpaces>315034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2019-12-25T03:20:00Z</dcterms:created>
  <dc:creator>dys</dc:creator>
  <cp:lastModifiedBy>lenovo</cp:lastModifiedBy>
  <cp:lastPrinted>2019-12-26T02:35:00Z</cp:lastPrinted>
  <dcterms:modified xsi:type="dcterms:W3CDTF">2019-12-31T07:57:21Z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