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jc w:val="center"/>
        <w:outlineLvl w:val="0"/>
        <w:rPr>
          <w:rFonts w:ascii="Times New Roman" w:hAnsi="Times New Roman" w:eastAsia="方正小标宋简体" w:cs="Times New Roman"/>
          <w:b/>
          <w:bCs/>
          <w:color w:val="000000"/>
          <w:sz w:val="36"/>
          <w:szCs w:val="36"/>
        </w:rPr>
      </w:pPr>
      <w:r>
        <w:rPr>
          <w:rFonts w:hint="eastAsia" w:ascii="Times New Roman" w:hAnsi="Times New Roman" w:eastAsia="方正小标宋简体" w:cs="方正小标宋简体"/>
          <w:b/>
          <w:bCs/>
          <w:color w:val="000000"/>
          <w:sz w:val="36"/>
          <w:szCs w:val="36"/>
        </w:rPr>
        <w:t>竞争性磋商项目内容</w:t>
      </w:r>
      <w:bookmarkStart w:id="0" w:name="_Toc7105"/>
    </w:p>
    <w:bookmarkEnd w:id="0"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right="0" w:rightChars="0"/>
        <w:jc w:val="both"/>
        <w:textAlignment w:val="auto"/>
        <w:outlineLvl w:val="1"/>
        <w:rPr>
          <w:rFonts w:hint="eastAsia" w:ascii="Times New Roman" w:hAnsi="宋体" w:eastAsia="宋体"/>
          <w:bCs w:val="0"/>
          <w:color w:val="000000"/>
          <w:sz w:val="24"/>
          <w:szCs w:val="24"/>
          <w:lang w:val="en-US" w:eastAsia="zh-CN"/>
        </w:rPr>
      </w:pPr>
      <w:bookmarkStart w:id="1" w:name="_Toc25022"/>
      <w:bookmarkStart w:id="2" w:name="_Toc6742"/>
      <w:bookmarkStart w:id="3" w:name="_Toc30504"/>
      <w:bookmarkStart w:id="4" w:name="_Toc32501"/>
      <w:r>
        <w:rPr>
          <w:rFonts w:hint="eastAsia" w:ascii="Times New Roman" w:hAnsi="宋体" w:eastAsia="宋体"/>
          <w:bCs w:val="0"/>
          <w:color w:val="000000"/>
          <w:sz w:val="24"/>
          <w:szCs w:val="24"/>
          <w:lang w:val="en-US" w:eastAsia="zh-CN"/>
        </w:rPr>
        <w:t>一、项目名称、最高限价</w:t>
      </w:r>
      <w:bookmarkEnd w:id="1"/>
      <w:bookmarkEnd w:id="2"/>
      <w:bookmarkEnd w:id="3"/>
      <w:bookmarkEnd w:id="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76" w:leftChars="140" w:right="0" w:rightChars="0" w:firstLine="0" w:firstLineChars="0"/>
        <w:textAlignment w:val="auto"/>
        <w:rPr>
          <w:rFonts w:hint="eastAsia"/>
          <w:bCs/>
          <w:color w:val="000000"/>
          <w:sz w:val="24"/>
          <w:u w:val="none"/>
          <w:lang w:eastAsia="zh-CN"/>
        </w:rPr>
      </w:pPr>
      <w:r>
        <w:rPr>
          <w:rFonts w:hint="eastAsia" w:eastAsia="黑体"/>
          <w:b/>
          <w:color w:val="000000"/>
          <w:sz w:val="24"/>
        </w:rPr>
        <w:t>1</w:t>
      </w:r>
      <w:r>
        <w:rPr>
          <w:b/>
          <w:color w:val="000000"/>
          <w:sz w:val="24"/>
        </w:rPr>
        <w:t>．</w:t>
      </w:r>
      <w:r>
        <w:rPr>
          <w:rFonts w:hint="eastAsia"/>
          <w:b/>
          <w:color w:val="000000"/>
          <w:sz w:val="24"/>
        </w:rPr>
        <w:t>项目名称</w:t>
      </w:r>
      <w:r>
        <w:rPr>
          <w:rFonts w:hint="eastAsia"/>
          <w:bCs/>
          <w:color w:val="000000"/>
          <w:sz w:val="24"/>
        </w:rPr>
        <w:t>：</w:t>
      </w:r>
      <w:r>
        <w:rPr>
          <w:rFonts w:hint="eastAsia"/>
          <w:bCs/>
          <w:color w:val="000000"/>
          <w:sz w:val="24"/>
          <w:u w:val="none"/>
          <w:lang w:eastAsia="zh-CN"/>
        </w:rPr>
        <w:t>遂宁市八角亭公墓管理所焚化炉拆除及地面恢复工程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76" w:leftChars="140" w:right="0" w:rightChars="0" w:firstLine="0" w:firstLineChars="0"/>
        <w:textAlignment w:val="auto"/>
        <w:rPr>
          <w:rFonts w:hint="eastAsia"/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2．最高限价：</w:t>
      </w:r>
      <w:r>
        <w:rPr>
          <w:rFonts w:hint="eastAsia"/>
          <w:bCs/>
          <w:color w:val="000000"/>
          <w:sz w:val="24"/>
        </w:rPr>
        <w:t>本项目最高限价为</w:t>
      </w:r>
      <w:r>
        <w:rPr>
          <w:rFonts w:hint="eastAsia"/>
          <w:bCs/>
          <w:color w:val="000000"/>
          <w:sz w:val="24"/>
          <w:lang w:val="en-US" w:eastAsia="zh-CN"/>
        </w:rPr>
        <w:t xml:space="preserve"> </w:t>
      </w:r>
      <w:r>
        <w:rPr>
          <w:rFonts w:ascii="Arial" w:hAnsi="Arial" w:cs="Arial"/>
          <w:sz w:val="24"/>
        </w:rPr>
        <w:t>¥</w:t>
      </w:r>
      <w:r>
        <w:rPr>
          <w:rFonts w:hint="eastAsia" w:ascii="Arial" w:hAnsi="Arial" w:cs="Arial"/>
          <w:sz w:val="24"/>
          <w:u w:val="single"/>
          <w:lang w:val="en-US" w:eastAsia="zh-CN"/>
        </w:rPr>
        <w:t xml:space="preserve"> </w:t>
      </w:r>
      <w:r>
        <w:rPr>
          <w:rFonts w:hint="eastAsia" w:hAnsi="宋体" w:cs="宋体"/>
          <w:b/>
          <w:bCs/>
          <w:sz w:val="24"/>
          <w:u w:val="single"/>
          <w:lang w:val="en-US" w:eastAsia="zh-CN"/>
        </w:rPr>
        <w:t>7.08</w:t>
      </w:r>
      <w:r>
        <w:rPr>
          <w:rFonts w:hint="eastAsia"/>
          <w:sz w:val="24"/>
        </w:rPr>
        <w:t>万元</w:t>
      </w:r>
      <w:r>
        <w:rPr>
          <w:rFonts w:hint="eastAsia"/>
          <w:b/>
          <w:color w:val="000000"/>
          <w:sz w:val="18"/>
          <w:szCs w:val="13"/>
        </w:rPr>
        <w:t>（超过最高限价作无效</w:t>
      </w:r>
      <w:r>
        <w:rPr>
          <w:rFonts w:hint="eastAsia"/>
          <w:b/>
          <w:color w:val="000000"/>
          <w:sz w:val="18"/>
          <w:szCs w:val="13"/>
          <w:lang w:eastAsia="zh-CN"/>
        </w:rPr>
        <w:t>报价</w:t>
      </w:r>
      <w:r>
        <w:rPr>
          <w:rFonts w:hint="eastAsia"/>
          <w:b/>
          <w:color w:val="000000"/>
          <w:sz w:val="18"/>
          <w:szCs w:val="13"/>
        </w:rPr>
        <w:t>处理）</w:t>
      </w:r>
      <w:r>
        <w:rPr>
          <w:rFonts w:hint="eastAsia"/>
          <w:bCs/>
          <w:color w:val="000000"/>
          <w:sz w:val="20"/>
          <w:szCs w:val="15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line="44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hAnsi="宋体" w:cs="宋体"/>
          <w:b/>
          <w:bCs w:val="0"/>
          <w:color w:val="000000"/>
          <w:sz w:val="24"/>
          <w:szCs w:val="24"/>
          <w:lang w:val="en-US" w:eastAsia="zh-CN" w:bidi="ar-SA"/>
        </w:rPr>
      </w:pPr>
      <w:bookmarkStart w:id="5" w:name="_Toc32168"/>
      <w:bookmarkStart w:id="6" w:name="_Toc11175"/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 w:eastAsia="zh-CN" w:bidi="ar-SA"/>
        </w:rPr>
        <w:t>二、</w:t>
      </w:r>
      <w:bookmarkEnd w:id="5"/>
      <w:bookmarkEnd w:id="6"/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 w:eastAsia="zh-CN" w:bidi="ar-SA"/>
        </w:rPr>
        <w:t>项目内容及要求</w:t>
      </w:r>
      <w:r>
        <w:rPr>
          <w:rFonts w:hint="eastAsia" w:hAnsi="宋体" w:cs="宋体"/>
          <w:b/>
          <w:bCs w:val="0"/>
          <w:color w:val="000000"/>
          <w:sz w:val="24"/>
          <w:szCs w:val="24"/>
          <w:lang w:val="en-US" w:eastAsia="zh-CN" w:bidi="ar-SA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line="440" w:lineRule="exact"/>
        <w:ind w:right="0" w:rightChars="0" w:firstLine="482" w:firstLineChars="200"/>
        <w:jc w:val="both"/>
        <w:textAlignment w:val="auto"/>
        <w:outlineLvl w:val="1"/>
        <w:rPr>
          <w:rFonts w:hint="eastAsia" w:hAnsi="宋体" w:cs="宋体"/>
          <w:b/>
          <w:bCs w:val="0"/>
          <w:color w:val="000000"/>
          <w:sz w:val="24"/>
          <w:szCs w:val="24"/>
          <w:lang w:val="en-US" w:eastAsia="zh-CN" w:bidi="ar-SA"/>
        </w:rPr>
      </w:pPr>
      <w:r>
        <w:rPr>
          <w:rFonts w:hint="eastAsia" w:hAnsi="宋体" w:cs="宋体"/>
          <w:b/>
          <w:bCs w:val="0"/>
          <w:color w:val="000000"/>
          <w:sz w:val="24"/>
          <w:szCs w:val="24"/>
          <w:lang w:val="en-US" w:eastAsia="zh-CN" w:bidi="ar-SA"/>
        </w:rPr>
        <w:t>1</w:t>
      </w:r>
      <w:r>
        <w:rPr>
          <w:rFonts w:hint="eastAsia"/>
          <w:b/>
          <w:color w:val="000000"/>
          <w:sz w:val="24"/>
        </w:rPr>
        <w:t>．</w:t>
      </w:r>
      <w:r>
        <w:rPr>
          <w:rFonts w:hint="eastAsia" w:hAnsi="宋体" w:cs="宋体"/>
          <w:b/>
          <w:bCs w:val="0"/>
          <w:color w:val="000000"/>
          <w:sz w:val="24"/>
          <w:szCs w:val="24"/>
          <w:lang w:val="en-US" w:eastAsia="zh-CN" w:bidi="ar-SA"/>
        </w:rPr>
        <w:t>项目内容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墓区内原修建的四座焚化炉，已失去其存在价值，急需</w:t>
      </w:r>
      <w:r>
        <w:rPr>
          <w:rFonts w:hint="eastAsia" w:hAnsi="宋体" w:cs="宋体"/>
          <w:color w:val="000000"/>
          <w:sz w:val="24"/>
          <w:szCs w:val="24"/>
          <w:lang w:val="en-US" w:eastAsia="zh-CN"/>
        </w:rPr>
        <w:t>拆除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。同时，由于墓区内栽种的部分乔木根系过于发达，已经影响到墓体及配套设施安全，存在严重安全隐患，急需排危。将四座焚化炉进行拆除并恢复地面，同时将墓区内存在隐患的8株乔木一并进行采伐</w:t>
      </w:r>
      <w:r>
        <w:rPr>
          <w:rFonts w:hint="eastAsia" w:hAnsi="宋体" w:cs="宋体"/>
          <w:color w:val="000000"/>
          <w:sz w:val="24"/>
          <w:szCs w:val="24"/>
          <w:lang w:val="en-US" w:eastAsia="zh-CN"/>
        </w:rPr>
        <w:t>、清运。</w:t>
      </w:r>
    </w:p>
    <w:p>
      <w:pPr>
        <w:keepNext w:val="0"/>
        <w:keepLines w:val="0"/>
        <w:pageBreakBefore w:val="0"/>
        <w:widowControl w:val="0"/>
        <w:tabs>
          <w:tab w:val="left" w:pos="50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440" w:lineRule="exact"/>
        <w:ind w:left="0" w:leftChars="0" w:right="0" w:rightChars="0" w:firstLine="482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pict>
          <v:shape id="_x0000_s1028" o:spid="_x0000_s1028" o:spt="75" type="#_x0000_t75" style="position:absolute;left:0pt;margin-left:102.3pt;margin-top:15.1pt;height:66pt;width:72.75pt;z-index:251659264;mso-width-relative:page;mso-height-relative:page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  <o:OLEObject Type="Embed" ProgID="Excel.Sheet.8" ShapeID="_x0000_s1028" DrawAspect="Icon" ObjectID="_1468075725" r:id="rId4">
            <o:LockedField>false</o:LockedField>
          </o:OLEObject>
        </w:pict>
      </w:r>
    </w:p>
    <w:p>
      <w:pPr>
        <w:keepNext w:val="0"/>
        <w:keepLines w:val="0"/>
        <w:pageBreakBefore w:val="0"/>
        <w:widowControl w:val="0"/>
        <w:tabs>
          <w:tab w:val="left" w:pos="50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440" w:lineRule="exact"/>
        <w:ind w:left="0" w:leftChars="0" w:right="0" w:rightChars="0" w:firstLine="482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t>2</w:t>
      </w:r>
      <w:r>
        <w:rPr>
          <w:rFonts w:hint="eastAsia"/>
          <w:b/>
          <w:color w:val="000000"/>
          <w:sz w:val="24"/>
        </w:rPr>
        <w:t>．</w:t>
      </w:r>
      <w:r>
        <w:rPr>
          <w:rFonts w:hint="eastAsia" w:ascii="宋体" w:hAnsi="宋体" w:eastAsia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t xml:space="preserve">施工清单：                      </w:t>
      </w:r>
    </w:p>
    <w:p>
      <w:pPr>
        <w:keepNext w:val="0"/>
        <w:keepLines w:val="0"/>
        <w:pageBreakBefore w:val="0"/>
        <w:widowControl w:val="0"/>
        <w:tabs>
          <w:tab w:val="left" w:pos="50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440" w:lineRule="exact"/>
        <w:ind w:left="0" w:leftChars="0" w:right="0" w:rightChars="0" w:firstLine="482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tabs>
          <w:tab w:val="left" w:pos="50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440" w:lineRule="exact"/>
        <w:ind w:left="0" w:leftChars="0" w:right="0" w:rightChars="0" w:firstLine="482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  <w:bookmarkStart w:id="15" w:name="_GoBack"/>
      <w:bookmarkEnd w:id="15"/>
    </w:p>
    <w:p>
      <w:pPr>
        <w:keepNext w:val="0"/>
        <w:keepLines w:val="0"/>
        <w:pageBreakBefore w:val="0"/>
        <w:widowControl w:val="0"/>
        <w:tabs>
          <w:tab w:val="left" w:pos="50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440" w:lineRule="exact"/>
        <w:ind w:left="0" w:leftChars="0" w:right="0" w:rightChars="0" w:firstLine="482" w:firstLineChars="200"/>
        <w:jc w:val="both"/>
        <w:textAlignment w:val="auto"/>
        <w:outlineLvl w:val="9"/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pict>
          <v:shape id="_x0000_s1029" o:spid="_x0000_s1029" o:spt="75" type="#_x0000_t75" style="position:absolute;left:0pt;margin-left:96.55pt;margin-top:8.1pt;height:66pt;width:72.75pt;z-index:251659264;mso-width-relative:page;mso-height-relative:page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  <o:OLEObject Type="Embed" ProgID="Package" ShapeID="_x0000_s1029" DrawAspect="Icon" ObjectID="_1468075726" r:id="rId6">
            <o:LockedField>false</o:LockedField>
          </o:OLEObject>
        </w:pict>
      </w:r>
    </w:p>
    <w:p>
      <w:pPr>
        <w:keepNext w:val="0"/>
        <w:keepLines w:val="0"/>
        <w:pageBreakBefore w:val="0"/>
        <w:widowControl w:val="0"/>
        <w:tabs>
          <w:tab w:val="left" w:pos="507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440" w:lineRule="exact"/>
        <w:ind w:left="0" w:leftChars="0" w:right="0" w:rightChars="0" w:firstLine="482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t>3</w:t>
      </w:r>
      <w:r>
        <w:rPr>
          <w:rFonts w:hint="eastAsia"/>
          <w:b/>
          <w:color w:val="000000"/>
          <w:sz w:val="24"/>
        </w:rPr>
        <w:t>．</w:t>
      </w:r>
      <w:r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t>设计图：</w:t>
      </w:r>
    </w:p>
    <w:p>
      <w:pPr>
        <w:pStyle w:val="6"/>
        <w:pageBreakBefore w:val="0"/>
        <w:widowControl w:val="0"/>
        <w:numPr>
          <w:ilvl w:val="0"/>
          <w:numId w:val="0"/>
        </w:numPr>
        <w:tabs>
          <w:tab w:val="left" w:pos="37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left"/>
        <w:textAlignment w:val="auto"/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7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 w:firstLine="0" w:firstLineChars="0"/>
        <w:jc w:val="left"/>
        <w:textAlignment w:val="auto"/>
        <w:outlineLvl w:val="1"/>
        <w:rPr>
          <w:rFonts w:hint="default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  <w:bookmarkStart w:id="7" w:name="_Toc8178"/>
      <w:bookmarkStart w:id="8" w:name="_Toc20711"/>
      <w:r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t>三、商务要求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7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 w:firstLine="0" w:firstLineChars="0"/>
        <w:jc w:val="left"/>
        <w:textAlignment w:val="auto"/>
        <w:outlineLvl w:val="1"/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hAnsi="宋体" w:cs="宋体"/>
          <w:b/>
          <w:bCs w:val="0"/>
          <w:color w:val="000000"/>
          <w:kern w:val="0"/>
          <w:sz w:val="24"/>
          <w:szCs w:val="24"/>
          <w:lang w:val="en-US" w:eastAsia="zh-CN" w:bidi="ar-SA"/>
        </w:rPr>
        <w:t>（一）售后服务</w:t>
      </w:r>
      <w:bookmarkEnd w:id="7"/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</w:t>
      </w:r>
      <w:r>
        <w:rPr>
          <w:rFonts w:hint="eastAsia" w:hAnsi="宋体" w:cs="宋体"/>
          <w:color w:val="000000"/>
          <w:sz w:val="24"/>
          <w:szCs w:val="24"/>
          <w:lang w:eastAsia="zh-CN"/>
        </w:rPr>
        <w:t>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在规定的</w:t>
      </w:r>
      <w:r>
        <w:rPr>
          <w:rFonts w:hint="eastAsia" w:hAnsi="宋体" w:cs="宋体"/>
          <w:color w:val="000000"/>
          <w:sz w:val="24"/>
          <w:szCs w:val="24"/>
          <w:lang w:eastAsia="zh-CN"/>
        </w:rPr>
        <w:t>工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期内，</w:t>
      </w:r>
      <w:r>
        <w:rPr>
          <w:rFonts w:hint="eastAsia" w:hAnsi="宋体" w:cs="宋体"/>
          <w:color w:val="000000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应对由于</w:t>
      </w:r>
      <w:r>
        <w:rPr>
          <w:rFonts w:hint="eastAsia" w:hAnsi="宋体" w:cs="宋体"/>
          <w:color w:val="000000"/>
          <w:sz w:val="24"/>
          <w:szCs w:val="24"/>
          <w:lang w:eastAsia="zh-CN"/>
        </w:rPr>
        <w:t>施工安全措施不到位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等缺陷造成的损失和</w:t>
      </w:r>
      <w:r>
        <w:rPr>
          <w:rFonts w:hint="eastAsia" w:hAnsi="宋体" w:cs="宋体"/>
          <w:color w:val="000000"/>
          <w:sz w:val="24"/>
          <w:szCs w:val="24"/>
          <w:lang w:eastAsia="zh-CN"/>
        </w:rPr>
        <w:t>安全事故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负责</w:t>
      </w:r>
      <w:r>
        <w:rPr>
          <w:rFonts w:hint="eastAsia" w:hAnsi="宋体" w:cs="宋体"/>
          <w:color w:val="00000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2</w:t>
      </w:r>
      <w:r>
        <w:rPr>
          <w:rFonts w:hint="eastAsia" w:hAnsi="宋体" w:cs="宋体"/>
          <w:color w:val="000000"/>
          <w:sz w:val="24"/>
          <w:szCs w:val="24"/>
          <w:lang w:eastAsia="zh-CN"/>
        </w:rPr>
        <w:t>．</w:t>
      </w:r>
      <w:bookmarkStart w:id="9" w:name="_Toc1929"/>
      <w:bookmarkStart w:id="10" w:name="_Toc23124"/>
      <w:r>
        <w:rPr>
          <w:rFonts w:hint="eastAsia" w:hAnsi="宋体" w:cs="宋体"/>
          <w:color w:val="000000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须提供服务电话和</w:t>
      </w:r>
      <w:r>
        <w:rPr>
          <w:rFonts w:hint="eastAsia" w:hAnsi="宋体" w:cs="宋体"/>
          <w:color w:val="000000"/>
          <w:sz w:val="24"/>
          <w:szCs w:val="24"/>
          <w:lang w:eastAsia="zh-CN"/>
        </w:rPr>
        <w:t>工程负责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人名单（加盖公章）</w:t>
      </w:r>
      <w:r>
        <w:rPr>
          <w:rFonts w:hint="eastAsia" w:hAnsi="宋体" w:cs="宋体"/>
          <w:color w:val="00000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3</w:t>
      </w:r>
      <w:r>
        <w:rPr>
          <w:rFonts w:hint="eastAsia" w:hAnsi="宋体" w:cs="宋体"/>
          <w:color w:val="000000"/>
          <w:sz w:val="24"/>
          <w:szCs w:val="24"/>
          <w:lang w:val="en-US" w:eastAsia="zh-CN"/>
        </w:rPr>
        <w:t>．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承诺保修时间、保修期内的保修内容与范围、维修响应时间等。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宋体" w:hAnsi="宋体" w:eastAsia="宋体" w:cs="宋体"/>
          <w:bCs/>
          <w:sz w:val="24"/>
          <w:szCs w:val="24"/>
        </w:rPr>
      </w:pPr>
      <w:bookmarkStart w:id="11" w:name="_Toc30448"/>
      <w:bookmarkStart w:id="12" w:name="_Toc2622"/>
      <w:r>
        <w:rPr>
          <w:rFonts w:hint="eastAsia" w:hAnsi="宋体" w:cs="宋体"/>
          <w:b/>
          <w:bCs/>
          <w:color w:val="000000"/>
          <w:kern w:val="2"/>
          <w:sz w:val="24"/>
          <w:szCs w:val="24"/>
          <w:lang w:eastAsia="zh-CN"/>
        </w:rPr>
        <w:t>（二）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  <w:lang w:eastAsia="zh-CN"/>
        </w:rPr>
        <w:t>施工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</w:rPr>
        <w:t>地点、</w:t>
      </w:r>
      <w:r>
        <w:rPr>
          <w:rFonts w:hint="eastAsia" w:hAnsi="宋体" w:cs="宋体"/>
          <w:b/>
          <w:bCs/>
          <w:color w:val="000000"/>
          <w:kern w:val="2"/>
          <w:sz w:val="24"/>
          <w:szCs w:val="24"/>
          <w:lang w:eastAsia="zh-CN"/>
        </w:rPr>
        <w:t>完工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</w:rPr>
        <w:t>时间</w:t>
      </w:r>
      <w:r>
        <w:rPr>
          <w:rFonts w:hint="eastAsia" w:hAnsi="宋体" w:cs="宋体"/>
          <w:b/>
          <w:bCs/>
          <w:color w:val="000000"/>
          <w:kern w:val="2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</w:rPr>
        <w:t>验收</w:t>
      </w:r>
      <w:bookmarkEnd w:id="9"/>
      <w:bookmarkEnd w:id="10"/>
      <w:r>
        <w:rPr>
          <w:rFonts w:hint="eastAsia" w:hAnsi="宋体" w:cs="宋体"/>
          <w:b/>
          <w:bCs/>
          <w:color w:val="000000"/>
          <w:kern w:val="2"/>
          <w:sz w:val="24"/>
          <w:szCs w:val="24"/>
          <w:lang w:eastAsia="zh-CN"/>
        </w:rPr>
        <w:t>标准及验收</w:t>
      </w:r>
      <w:bookmarkEnd w:id="11"/>
      <w:r>
        <w:rPr>
          <w:rFonts w:hint="eastAsia" w:hAnsi="宋体" w:cs="宋体"/>
          <w:b/>
          <w:bCs/>
          <w:color w:val="000000"/>
          <w:kern w:val="2"/>
          <w:sz w:val="24"/>
          <w:szCs w:val="24"/>
          <w:lang w:eastAsia="zh-CN"/>
        </w:rPr>
        <w:t>方法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2" w:firstLineChars="200"/>
        <w:jc w:val="both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1</w:t>
      </w:r>
      <w:r>
        <w:rPr>
          <w:b/>
          <w:color w:val="000000"/>
          <w:sz w:val="24"/>
        </w:rPr>
        <w:t>．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施工</w:t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t>地点：</w:t>
      </w:r>
      <w:r>
        <w:rPr>
          <w:rFonts w:hint="eastAsia" w:hAnsi="宋体" w:cs="宋体"/>
          <w:bCs/>
          <w:sz w:val="24"/>
          <w:szCs w:val="24"/>
          <w:lang w:eastAsia="zh-CN"/>
        </w:rPr>
        <w:t>遂宁市船山区广德路八角亭公墓</w:t>
      </w:r>
      <w:r>
        <w:rPr>
          <w:rFonts w:hint="eastAsia" w:hAnsi="宋体" w:cs="宋体"/>
          <w:bCs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2" w:firstLineChars="200"/>
        <w:jc w:val="both"/>
        <w:textAlignment w:val="auto"/>
        <w:rPr>
          <w:rFonts w:hint="eastAsia" w:ascii="宋体" w:hAnsi="宋体" w:eastAsia="宋体" w:cs="宋体"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2</w:t>
      </w:r>
      <w:r>
        <w:rPr>
          <w:b/>
          <w:color w:val="auto"/>
          <w:sz w:val="24"/>
        </w:rPr>
        <w:t>．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eastAsia="zh-CN"/>
        </w:rPr>
        <w:t>完工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</w:rPr>
        <w:t>时间：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合同签订之日起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30个日历天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内完成施工并通过验收</w:t>
      </w:r>
      <w:r>
        <w:rPr>
          <w:rFonts w:hint="eastAsia" w:hAnsi="宋体" w:cs="宋体"/>
          <w:color w:val="auto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2" w:firstLineChars="200"/>
        <w:jc w:val="both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3</w:t>
      </w:r>
      <w:r>
        <w:rPr>
          <w:b/>
          <w:color w:val="000000"/>
          <w:sz w:val="24"/>
        </w:rPr>
        <w:t>．</w:t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t>验收标准：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符合国家相关行业标准</w:t>
      </w:r>
      <w:r>
        <w:rPr>
          <w:rFonts w:hint="eastAsia" w:hAnsi="宋体" w:cs="宋体"/>
          <w:color w:val="000000"/>
          <w:sz w:val="24"/>
          <w:szCs w:val="24"/>
          <w:lang w:eastAsia="zh-CN"/>
        </w:rPr>
        <w:t>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left="0" w:leftChars="0" w:right="0" w:rightChars="0" w:firstLine="482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</w:pPr>
      <w:r>
        <w:rPr>
          <w:rFonts w:hint="eastAsia" w:hAnsi="宋体" w:eastAsia="宋体" w:cs="宋体"/>
          <w:b/>
          <w:bCs/>
          <w:color w:val="auto"/>
          <w:sz w:val="24"/>
          <w:szCs w:val="24"/>
          <w:u w:val="none"/>
        </w:rPr>
        <w:t>4</w:t>
      </w:r>
      <w:r>
        <w:rPr>
          <w:b/>
          <w:color w:val="000000"/>
          <w:sz w:val="24"/>
        </w:rPr>
        <w:t>．</w:t>
      </w:r>
      <w:r>
        <w:rPr>
          <w:rFonts w:hint="eastAsia" w:hAnsi="宋体" w:eastAsia="宋体" w:cs="宋体"/>
          <w:b/>
          <w:bCs/>
          <w:color w:val="auto"/>
          <w:sz w:val="24"/>
          <w:szCs w:val="24"/>
          <w:u w:val="none"/>
        </w:rPr>
        <w:t>验收</w:t>
      </w:r>
      <w:r>
        <w:rPr>
          <w:rFonts w:hint="eastAsia" w:hAnsi="宋体" w:cs="宋体"/>
          <w:b/>
          <w:bCs/>
          <w:color w:val="auto"/>
          <w:sz w:val="24"/>
          <w:szCs w:val="24"/>
          <w:u w:val="none"/>
          <w:lang w:eastAsia="zh-CN"/>
        </w:rPr>
        <w:t>方法</w:t>
      </w:r>
      <w:r>
        <w:rPr>
          <w:rFonts w:hint="eastAsia" w:ascii="宋体" w:hAnsi="宋体" w:eastAsia="宋体" w:cs="宋体"/>
          <w:b/>
          <w:bCs w:val="0"/>
          <w:sz w:val="24"/>
          <w:szCs w:val="24"/>
        </w:rPr>
        <w:t>：</w:t>
      </w:r>
      <w:r>
        <w:rPr>
          <w:rFonts w:hint="eastAsia" w:hAnsi="宋体" w:cs="宋体"/>
          <w:b w:val="0"/>
          <w:bCs/>
          <w:spacing w:val="0"/>
          <w:kern w:val="2"/>
          <w:sz w:val="24"/>
          <w:szCs w:val="24"/>
          <w:lang w:val="en-US" w:eastAsia="zh-CN" w:bidi="ar-SA"/>
        </w:rPr>
        <w:t>参</w:t>
      </w:r>
      <w:r>
        <w:rPr>
          <w:rFonts w:hint="eastAsia" w:ascii="宋体" w:hAnsi="宋体" w:eastAsia="宋体" w:cs="宋体"/>
          <w:b w:val="0"/>
          <w:bCs/>
          <w:spacing w:val="0"/>
          <w:kern w:val="2"/>
          <w:sz w:val="24"/>
          <w:szCs w:val="24"/>
          <w:lang w:val="en-US" w:eastAsia="zh-CN" w:bidi="ar-SA"/>
        </w:rPr>
        <w:t>照《四川省政府采购项目需求论证和履约验收管理办法》（川财采〔2015〕32号）要求进行验收。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40" w:lineRule="exact"/>
        <w:ind w:left="0" w:leftChars="0" w:right="0" w:rightChars="0" w:firstLine="0" w:firstLineChars="0"/>
        <w:jc w:val="both"/>
        <w:textAlignment w:val="auto"/>
        <w:outlineLvl w:val="1"/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</w:pPr>
      <w:bookmarkStart w:id="13" w:name="_Toc28608"/>
      <w:bookmarkStart w:id="14" w:name="_Toc29401"/>
      <w:r>
        <w:rPr>
          <w:rFonts w:hint="eastAsia" w:hAnsi="宋体" w:cs="宋体"/>
          <w:b/>
          <w:bCs w:val="0"/>
          <w:sz w:val="24"/>
          <w:szCs w:val="24"/>
          <w:lang w:eastAsia="zh-CN"/>
        </w:rPr>
        <w:t>（三）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付款方式</w:t>
      </w:r>
      <w:bookmarkEnd w:id="13"/>
      <w:bookmarkEnd w:id="14"/>
    </w:p>
    <w:p>
      <w:pPr>
        <w:ind w:firstLine="480" w:firstLineChars="200"/>
      </w:pPr>
      <w:r>
        <w:rPr>
          <w:rFonts w:hint="eastAsia" w:hAnsi="宋体" w:cs="宋体"/>
          <w:color w:val="000000"/>
          <w:sz w:val="24"/>
          <w:szCs w:val="24"/>
          <w:lang w:val="en-US" w:eastAsia="zh-CN"/>
        </w:rPr>
        <w:t>按合同约定付款。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57064A"/>
    <w:rsid w:val="7554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Calibri" w:eastAsia="宋体" w:cs="宋体"/>
      <w:kern w:val="0"/>
      <w:sz w:val="34"/>
      <w:szCs w:val="34"/>
      <w:lang w:val="en-US" w:eastAsia="zh-CN" w:bidi="ar-SA"/>
    </w:rPr>
  </w:style>
  <w:style w:type="paragraph" w:styleId="3">
    <w:name w:val="heading 2"/>
    <w:basedOn w:val="1"/>
    <w:next w:val="1"/>
    <w:qFormat/>
    <w:uiPriority w:val="99"/>
    <w:pPr>
      <w:keepNext/>
      <w:keepLines/>
      <w:spacing w:before="260" w:after="260" w:line="416" w:lineRule="auto"/>
      <w:outlineLvl w:val="1"/>
    </w:pPr>
    <w:rPr>
      <w:rFonts w:ascii="Arial" w:hAnsi="Arial" w:eastAsia="黑体" w:cs="Arial"/>
      <w:b/>
      <w:bCs/>
      <w:kern w:val="2"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pacing w:after="120"/>
    </w:pPr>
  </w:style>
  <w:style w:type="paragraph" w:styleId="6">
    <w:name w:val="List Paragraph"/>
    <w:basedOn w:val="1"/>
    <w:qFormat/>
    <w:uiPriority w:val="0"/>
    <w:pPr>
      <w:suppressAutoHyphens/>
      <w:ind w:firstLine="420" w:firstLineChars="200"/>
    </w:pPr>
    <w:rPr>
      <w:kern w:val="1"/>
      <w:lang w:eastAsia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Administrator.PC-201710221018</dc:creator>
  <cp:lastModifiedBy>承诺</cp:lastModifiedBy>
  <dcterms:modified xsi:type="dcterms:W3CDTF">2019-07-29T03:39:05Z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