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附件3</w:t>
      </w:r>
    </w:p>
    <w:p>
      <w:pPr>
        <w:tabs>
          <w:tab w:val="left" w:pos="5430"/>
        </w:tabs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民间非营利组织会计报表</w:t>
      </w:r>
    </w:p>
    <w:p>
      <w:pPr>
        <w:spacing w:line="40" w:lineRule="exact"/>
        <w:jc w:val="center"/>
        <w:rPr>
          <w:rFonts w:hint="eastAsia" w:ascii="黑体" w:eastAsia="黑体"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hint="eastAsia" w:ascii="黑体" w:eastAsia="黑体"/>
          <w:color w:val="000000"/>
          <w:sz w:val="24"/>
          <w:szCs w:val="24"/>
        </w:rPr>
      </w:pPr>
      <w:r>
        <w:rPr>
          <w:rFonts w:hint="eastAsia" w:ascii="黑体" w:eastAsia="黑体"/>
          <w:color w:val="000000"/>
          <w:sz w:val="24"/>
          <w:szCs w:val="24"/>
        </w:rPr>
        <w:t>资 产 负 债 表</w:t>
      </w:r>
    </w:p>
    <w:p>
      <w:pPr>
        <w:spacing w:line="360" w:lineRule="auto"/>
        <w:jc w:val="right"/>
        <w:rPr>
          <w:rFonts w:hint="eastAsia"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01表</w:t>
      </w:r>
    </w:p>
    <w:p>
      <w:pPr>
        <w:spacing w:line="360" w:lineRule="auto"/>
        <w:jc w:val="right"/>
        <w:rPr>
          <w:rFonts w:hint="eastAsia"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编制单位：</w:t>
      </w:r>
      <w:r>
        <w:rPr>
          <w:rFonts w:hint="eastAsia" w:ascii="楷体_GB2312" w:eastAsia="楷体_GB2312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楷体_GB2312" w:eastAsia="楷体_GB2312"/>
          <w:color w:val="000000"/>
          <w:sz w:val="24"/>
          <w:szCs w:val="24"/>
        </w:rPr>
        <w:t xml:space="preserve">         </w:t>
      </w:r>
      <w:r>
        <w:rPr>
          <w:rFonts w:hint="eastAsia" w:ascii="楷体_GB2312" w:eastAsia="楷体_GB2312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楷体_GB2312" w:eastAsia="楷体_GB2312"/>
          <w:color w:val="000000"/>
          <w:sz w:val="24"/>
          <w:szCs w:val="24"/>
        </w:rPr>
        <w:t>年</w:t>
      </w:r>
      <w:r>
        <w:rPr>
          <w:rFonts w:hint="eastAsia" w:ascii="楷体_GB2312" w:eastAsia="楷体_GB2312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楷体_GB2312" w:eastAsia="楷体_GB2312"/>
          <w:color w:val="000000"/>
          <w:sz w:val="24"/>
          <w:szCs w:val="24"/>
        </w:rPr>
        <w:t>月</w:t>
      </w:r>
      <w:r>
        <w:rPr>
          <w:rFonts w:hint="eastAsia" w:ascii="楷体_GB2312" w:eastAsia="楷体_GB2312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楷体_GB2312" w:eastAsia="楷体_GB2312"/>
          <w:color w:val="000000"/>
          <w:sz w:val="24"/>
          <w:szCs w:val="24"/>
        </w:rPr>
        <w:t>日                  单位： 元</w:t>
      </w:r>
    </w:p>
    <w:tbl>
      <w:tblPr>
        <w:tblStyle w:val="3"/>
        <w:tblW w:w="0" w:type="auto"/>
        <w:tblInd w:w="-8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240"/>
        <w:gridCol w:w="545"/>
        <w:gridCol w:w="895"/>
        <w:gridCol w:w="900"/>
        <w:gridCol w:w="2700"/>
        <w:gridCol w:w="540"/>
        <w:gridCol w:w="827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资    产</w:t>
            </w:r>
          </w:p>
        </w:tc>
        <w:tc>
          <w:tcPr>
            <w:tcW w:w="545" w:type="dxa"/>
            <w:tcBorders>
              <w:top w:val="single" w:color="auto" w:sz="4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行次</w:t>
            </w:r>
          </w:p>
        </w:tc>
        <w:tc>
          <w:tcPr>
            <w:tcW w:w="895" w:type="dxa"/>
            <w:tcBorders>
              <w:top w:val="single" w:color="auto" w:sz="4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年初数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期末数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负债和净资产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行次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年初数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期末数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top w:val="nil"/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流动资产：</w:t>
            </w:r>
          </w:p>
        </w:tc>
        <w:tc>
          <w:tcPr>
            <w:tcW w:w="545" w:type="dxa"/>
            <w:tcBorders>
              <w:top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流动负债：</w:t>
            </w:r>
          </w:p>
        </w:tc>
        <w:tc>
          <w:tcPr>
            <w:tcW w:w="540" w:type="dxa"/>
            <w:tcBorders>
              <w:top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货币资金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短期借款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短期投资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应付款项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应收款项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应付工资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240" w:firstLineChars="1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预付账款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应交税金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存  货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ind w:firstLine="240" w:firstLineChars="1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预收账款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待摊费用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ind w:firstLine="240" w:firstLineChars="1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预提费用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一年内到期的长期债权投资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ind w:firstLine="240" w:firstLineChars="1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预计负债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其他流动资产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一年内到期的长期负债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流动资产合计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其他流动负债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流动负债合计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长期投资：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长期股权投资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长期负债：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长期债权投资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长期借款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长期投资合计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长期应付款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其他长期负债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固定资产：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长期负债合计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固定资产原价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减：累计折旧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受托代理负债：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固定资产净值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受托代理负债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在建工程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文物文化资产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负债合计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固定资产清理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固定资产合计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无形资产：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无形资产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净资产：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非限定性净资产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受托代理资产：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限定性净资产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受托代理资产</w:t>
            </w:r>
          </w:p>
        </w:tc>
        <w:tc>
          <w:tcPr>
            <w:tcW w:w="54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净资产合计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资产总计</w:t>
            </w: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负债和净资产总计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eastAsia="黑体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br w:type="page"/>
      </w:r>
      <w:r>
        <w:rPr>
          <w:rFonts w:hint="eastAsia" w:ascii="黑体" w:eastAsia="黑体"/>
          <w:color w:val="000000"/>
          <w:sz w:val="24"/>
          <w:szCs w:val="24"/>
        </w:rPr>
        <w:t>业 务 活 动 表</w:t>
      </w:r>
    </w:p>
    <w:p>
      <w:pPr>
        <w:spacing w:line="360" w:lineRule="auto"/>
        <w:ind w:firstLine="7740" w:firstLineChars="3225"/>
        <w:rPr>
          <w:rFonts w:hint="eastAsia"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02表</w:t>
      </w:r>
    </w:p>
    <w:p>
      <w:pPr>
        <w:spacing w:line="360" w:lineRule="auto"/>
        <w:rPr>
          <w:rFonts w:hint="eastAsia"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编制单位：</w:t>
      </w:r>
      <w:r>
        <w:rPr>
          <w:rFonts w:hint="eastAsia" w:ascii="楷体_GB2312" w:eastAsia="楷体_GB2312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color w:val="000000"/>
          <w:sz w:val="24"/>
          <w:szCs w:val="24"/>
        </w:rPr>
        <w:t xml:space="preserve">             </w:t>
      </w:r>
      <w:r>
        <w:rPr>
          <w:rFonts w:hint="eastAsia" w:ascii="楷体_GB2312" w:eastAsia="楷体_GB2312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楷体_GB2312" w:eastAsia="楷体_GB2312"/>
          <w:color w:val="000000"/>
          <w:sz w:val="24"/>
          <w:szCs w:val="24"/>
        </w:rPr>
        <w:t>年</w:t>
      </w:r>
      <w:r>
        <w:rPr>
          <w:rFonts w:hint="eastAsia" w:ascii="楷体_GB2312" w:eastAsia="楷体_GB2312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楷体_GB2312" w:eastAsia="楷体_GB2312"/>
          <w:color w:val="000000"/>
          <w:sz w:val="24"/>
          <w:szCs w:val="24"/>
        </w:rPr>
        <w:t>月                  单位：元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736"/>
        <w:gridCol w:w="1244"/>
        <w:gridCol w:w="1232"/>
        <w:gridCol w:w="928"/>
        <w:gridCol w:w="1332"/>
        <w:gridCol w:w="108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80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项  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行次</w:t>
            </w:r>
          </w:p>
        </w:tc>
        <w:tc>
          <w:tcPr>
            <w:tcW w:w="34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本月数</w:t>
            </w:r>
          </w:p>
        </w:tc>
        <w:tc>
          <w:tcPr>
            <w:tcW w:w="31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本年累计数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8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非限定性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限定性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332" w:type="dxa"/>
            <w:tcBorders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非限定性</w:t>
            </w:r>
          </w:p>
        </w:tc>
        <w:tc>
          <w:tcPr>
            <w:tcW w:w="1080" w:type="dxa"/>
            <w:tcBorders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限定性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一、收  入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其中：捐赠收入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720" w:firstLineChars="3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会费收入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720" w:firstLineChars="3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提供服务收入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720" w:firstLineChars="3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商品销售收入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720" w:firstLineChars="3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政府补助收入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720" w:firstLineChars="3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投资收益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720" w:firstLineChars="3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其他收入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二、费  用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（一）业务活动成本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（二）管理费用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（三）筹资费用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（四）其他费用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费用合计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三、限定性净资产转为非限定性净资产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8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四、净资产变动额</w:t>
            </w:r>
            <w:r>
              <w:rPr>
                <w:rStyle w:val="5"/>
                <w:rFonts w:hint="eastAsia" w:ascii="楷体_GB2312" w:eastAsia="楷体_GB2312"/>
                <w:color w:val="000000"/>
              </w:rPr>
              <w:t>（若为净资产减少额，以“-”号填列）</w:t>
            </w:r>
          </w:p>
        </w:tc>
        <w:tc>
          <w:tcPr>
            <w:tcW w:w="736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jc w:val="center"/>
        <w:rPr>
          <w:rFonts w:hint="eastAsia" w:ascii="黑体" w:eastAsia="黑体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br w:type="page"/>
      </w:r>
      <w:r>
        <w:rPr>
          <w:rFonts w:hint="eastAsia" w:ascii="黑体" w:eastAsia="黑体"/>
          <w:color w:val="000000"/>
          <w:sz w:val="24"/>
          <w:szCs w:val="24"/>
        </w:rPr>
        <w:t>现 金 流 量 表</w:t>
      </w:r>
    </w:p>
    <w:p>
      <w:pPr>
        <w:spacing w:line="360" w:lineRule="exact"/>
        <w:rPr>
          <w:rFonts w:hint="eastAsia"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 xml:space="preserve">                                                                03表</w:t>
      </w:r>
    </w:p>
    <w:p>
      <w:pPr>
        <w:spacing w:line="360" w:lineRule="exact"/>
        <w:rPr>
          <w:rFonts w:hint="eastAsia" w:ascii="楷体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</w:rPr>
        <w:t>编制单位：</w:t>
      </w:r>
      <w:r>
        <w:rPr>
          <w:rFonts w:hint="eastAsia" w:ascii="楷体_GB2312" w:eastAsia="楷体_GB2312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楷体_GB2312" w:eastAsia="楷体_GB2312"/>
          <w:color w:val="000000"/>
          <w:sz w:val="24"/>
          <w:szCs w:val="24"/>
        </w:rPr>
        <w:t xml:space="preserve">               </w:t>
      </w:r>
      <w:r>
        <w:rPr>
          <w:rFonts w:hint="eastAsia" w:ascii="楷体_GB2312" w:eastAsia="楷体_GB2312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楷体_GB2312" w:eastAsia="楷体_GB2312"/>
          <w:color w:val="000000"/>
          <w:sz w:val="24"/>
          <w:szCs w:val="24"/>
        </w:rPr>
        <w:t>年度                      单位：元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70"/>
        <w:gridCol w:w="720"/>
        <w:gridCol w:w="168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项  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行次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金  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一、业务活动产生的现金流量：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接受捐赠收到的现金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收取会费收到的现金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提供服务收到的现金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销售商品收到的现金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政府补助收到的现金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收到的其他与业务活动有关的现金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5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                    现金流入小计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提供捐赠或者资助支付的现金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支付给员工以及为员工支付的现金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7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购买商品、接受服务支付的现金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9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支付的其他与业务活动有关的现金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9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                    现金流出小计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业务活动产生的现金流量净额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二、投资活动产生的现金流量：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收回投资所收到的现金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取得投资收益所收到的现金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5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处置固定资产和无形资产所收回的现金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3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收到的其他与投资活动有关的现金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                    现金流入小计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购建固定资产和无形资产所支付的现金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对外投资所支付的现金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1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支付的其他与投资活动有关的现金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5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                    现金流出小计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投资活动产生的现金流量净额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三、筹资活动产生的现金流量：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3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借款所收到的现金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收到的其他与筹资活动有关的现金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5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                    现金流入小计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偿还借款所支付的现金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5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偿付利息所支付的现金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5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支付的其他与筹资活动有关的现金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9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 xml:space="preserve">                          现金流出小计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筹资活动产生的现金流量净额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四、汇率变动对现金的影响额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EzMTA5YjRhNWZmMjRlMzc2ZjJjNDdmNmE0NzAifQ=="/>
  </w:docVars>
  <w:rsids>
    <w:rsidRoot w:val="6EAC43A1"/>
    <w:rsid w:val="6EAC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  <w:adjustRightInd w:val="0"/>
      <w:spacing w:line="560" w:lineRule="atLeast"/>
      <w:jc w:val="both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styleId="5">
    <w:name w:val="HTML Typewriter"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2023-02-08T07:36:00Z</dcterms:created>
  <dc:creator>p'c</dc:creator>
  <cp:lastModifiedBy>p'c</cp:lastModifiedBy>
  <dcterms:modified xsi:type="dcterms:W3CDTF">2023-02-08T07:36:19Z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D0AC69CF37A6442C80F710E72E6C866B</vt:lpwstr>
  </property>
</Properties>
</file>